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6BF38" w14:textId="6D873A75" w:rsidR="00C9271A" w:rsidRDefault="002758E6" w:rsidP="00DE5A79">
      <w:pPr>
        <w:spacing w:after="20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Moduly z Jeseníků se přepravují</w:t>
      </w:r>
      <w:r w:rsidR="00B71BDC">
        <w:rPr>
          <w:b/>
          <w:sz w:val="28"/>
          <w:szCs w:val="28"/>
        </w:rPr>
        <w:t xml:space="preserve"> do celého světa</w:t>
      </w:r>
      <w:r>
        <w:rPr>
          <w:b/>
          <w:sz w:val="28"/>
          <w:szCs w:val="28"/>
        </w:rPr>
        <w:t>:</w:t>
      </w:r>
      <w:r w:rsidR="00066250">
        <w:rPr>
          <w:b/>
          <w:sz w:val="28"/>
          <w:szCs w:val="28"/>
        </w:rPr>
        <w:t xml:space="preserve"> po silnici i lodí</w:t>
      </w:r>
    </w:p>
    <w:p w14:paraId="16E37722" w14:textId="75A9D980" w:rsidR="006A2D48" w:rsidRDefault="00730D23" w:rsidP="00F7704C">
      <w:pPr>
        <w:spacing w:line="320" w:lineRule="atLeast"/>
        <w:jc w:val="both"/>
        <w:rPr>
          <w:b/>
        </w:rPr>
      </w:pPr>
      <w:r w:rsidRPr="00B234AA">
        <w:rPr>
          <w:b/>
        </w:rPr>
        <w:t xml:space="preserve">Praha, </w:t>
      </w:r>
      <w:r w:rsidR="00E335CA">
        <w:rPr>
          <w:b/>
        </w:rPr>
        <w:t>3</w:t>
      </w:r>
      <w:bookmarkStart w:id="0" w:name="_GoBack"/>
      <w:bookmarkEnd w:id="0"/>
      <w:r w:rsidR="00EF6433">
        <w:rPr>
          <w:b/>
        </w:rPr>
        <w:t xml:space="preserve">. </w:t>
      </w:r>
      <w:r w:rsidR="00314EF8">
        <w:rPr>
          <w:b/>
        </w:rPr>
        <w:t>11</w:t>
      </w:r>
      <w:r w:rsidR="0085317B">
        <w:rPr>
          <w:b/>
        </w:rPr>
        <w:t>.</w:t>
      </w:r>
      <w:r w:rsidR="00AD55B3">
        <w:rPr>
          <w:b/>
        </w:rPr>
        <w:t xml:space="preserve"> </w:t>
      </w:r>
      <w:r w:rsidR="00314EF8">
        <w:rPr>
          <w:b/>
        </w:rPr>
        <w:t>2017</w:t>
      </w:r>
      <w:r w:rsidR="00061C60">
        <w:rPr>
          <w:b/>
        </w:rPr>
        <w:t xml:space="preserve"> </w:t>
      </w:r>
      <w:r w:rsidRPr="00F0391E">
        <w:rPr>
          <w:b/>
        </w:rPr>
        <w:t>–</w:t>
      </w:r>
      <w:r w:rsidR="00061C60">
        <w:rPr>
          <w:b/>
        </w:rPr>
        <w:t xml:space="preserve"> </w:t>
      </w:r>
      <w:r w:rsidR="007F08E6">
        <w:rPr>
          <w:b/>
        </w:rPr>
        <w:t>Vyhledávanou alternativou k tradiční výstavbě je v současné době m</w:t>
      </w:r>
      <w:r w:rsidR="00DE4869">
        <w:rPr>
          <w:b/>
        </w:rPr>
        <w:t>odulová technologie</w:t>
      </w:r>
      <w:r w:rsidR="007F08E6">
        <w:rPr>
          <w:b/>
        </w:rPr>
        <w:t xml:space="preserve">, která je rychlá, flexibilní a finančně efektivní. Přitom poskytuje nejen veškerý komfort srovnatelný s klasickými zděnými stavbami, ale dokáže dnes již </w:t>
      </w:r>
      <w:r w:rsidR="00CB1EEC">
        <w:rPr>
          <w:b/>
        </w:rPr>
        <w:t>vyhovět i nárokům na design</w:t>
      </w:r>
      <w:r w:rsidR="007F08E6">
        <w:rPr>
          <w:b/>
        </w:rPr>
        <w:t xml:space="preserve">. </w:t>
      </w:r>
      <w:r w:rsidR="002758E6">
        <w:rPr>
          <w:b/>
        </w:rPr>
        <w:t>Česko je ve výrobě modulových staveb</w:t>
      </w:r>
      <w:r w:rsidR="00D458B5" w:rsidRPr="00D458B5">
        <w:rPr>
          <w:b/>
        </w:rPr>
        <w:t xml:space="preserve"> ev</w:t>
      </w:r>
      <w:r w:rsidR="002758E6">
        <w:rPr>
          <w:b/>
        </w:rPr>
        <w:t xml:space="preserve">ropskou velmocí: </w:t>
      </w:r>
      <w:r w:rsidR="00D458B5">
        <w:rPr>
          <w:b/>
        </w:rPr>
        <w:t>ročně se zde</w:t>
      </w:r>
      <w:r w:rsidR="002758E6">
        <w:rPr>
          <w:b/>
        </w:rPr>
        <w:t xml:space="preserve"> vyrobí zhruba 25 000 </w:t>
      </w:r>
      <w:r w:rsidR="00D458B5" w:rsidRPr="00D458B5">
        <w:rPr>
          <w:b/>
        </w:rPr>
        <w:t xml:space="preserve">kusů </w:t>
      </w:r>
      <w:r w:rsidR="007F08E6">
        <w:rPr>
          <w:b/>
        </w:rPr>
        <w:t>modulů, což je</w:t>
      </w:r>
      <w:r w:rsidR="00D458B5" w:rsidRPr="00D458B5">
        <w:rPr>
          <w:b/>
        </w:rPr>
        <w:t xml:space="preserve"> zhruba 375 000 m</w:t>
      </w:r>
      <w:r w:rsidR="00D458B5" w:rsidRPr="00D458B5">
        <w:rPr>
          <w:b/>
          <w:vertAlign w:val="superscript"/>
        </w:rPr>
        <w:t>2</w:t>
      </w:r>
      <w:r w:rsidR="007F08E6">
        <w:rPr>
          <w:b/>
        </w:rPr>
        <w:t xml:space="preserve"> plochy. 90 % tuzemské </w:t>
      </w:r>
      <w:r w:rsidR="00D458B5" w:rsidRPr="00D458B5">
        <w:rPr>
          <w:b/>
        </w:rPr>
        <w:t>v</w:t>
      </w:r>
      <w:r w:rsidR="00314EF8">
        <w:rPr>
          <w:b/>
        </w:rPr>
        <w:t>ýroby jde na export, zejména do </w:t>
      </w:r>
      <w:r w:rsidR="00CC51A8">
        <w:rPr>
          <w:b/>
        </w:rPr>
        <w:t>západní Evropy (Německa</w:t>
      </w:r>
      <w:r w:rsidR="00D458B5" w:rsidRPr="00D458B5">
        <w:rPr>
          <w:b/>
        </w:rPr>
        <w:t>, Benelux</w:t>
      </w:r>
      <w:r w:rsidR="00CC51A8">
        <w:rPr>
          <w:b/>
        </w:rPr>
        <w:t>u</w:t>
      </w:r>
      <w:r w:rsidR="00314EF8">
        <w:rPr>
          <w:b/>
        </w:rPr>
        <w:t>, Francie, Skandinávie a další</w:t>
      </w:r>
      <w:r w:rsidR="00CC51A8">
        <w:rPr>
          <w:b/>
        </w:rPr>
        <w:t>ch zemí</w:t>
      </w:r>
      <w:r w:rsidR="00D458B5" w:rsidRPr="00D458B5">
        <w:rPr>
          <w:b/>
        </w:rPr>
        <w:t>).</w:t>
      </w:r>
      <w:r w:rsidR="00D458B5">
        <w:rPr>
          <w:b/>
        </w:rPr>
        <w:t xml:space="preserve"> </w:t>
      </w:r>
      <w:r w:rsidR="00CC33D5">
        <w:rPr>
          <w:b/>
        </w:rPr>
        <w:t>Mezi</w:t>
      </w:r>
      <w:r w:rsidR="00314EF8">
        <w:rPr>
          <w:b/>
        </w:rPr>
        <w:t xml:space="preserve"> </w:t>
      </w:r>
      <w:r w:rsidR="002758E6">
        <w:rPr>
          <w:b/>
        </w:rPr>
        <w:t xml:space="preserve">lídry v tomto </w:t>
      </w:r>
      <w:r w:rsidR="00314EF8">
        <w:rPr>
          <w:b/>
        </w:rPr>
        <w:t xml:space="preserve">dynamicky se vyvíjejícím </w:t>
      </w:r>
      <w:r w:rsidR="008D49FD">
        <w:rPr>
          <w:b/>
        </w:rPr>
        <w:t>odvětví</w:t>
      </w:r>
      <w:r w:rsidR="002758E6">
        <w:rPr>
          <w:b/>
        </w:rPr>
        <w:t xml:space="preserve"> patří s</w:t>
      </w:r>
      <w:r w:rsidR="00D458B5">
        <w:rPr>
          <w:b/>
        </w:rPr>
        <w:t>polečnost Touax</w:t>
      </w:r>
      <w:r w:rsidR="002758E6">
        <w:rPr>
          <w:b/>
        </w:rPr>
        <w:t>, která má v Supíkovicích na </w:t>
      </w:r>
      <w:r w:rsidR="000D1538">
        <w:rPr>
          <w:b/>
        </w:rPr>
        <w:t xml:space="preserve">Moravě </w:t>
      </w:r>
      <w:r w:rsidR="008D49FD">
        <w:rPr>
          <w:b/>
        </w:rPr>
        <w:t xml:space="preserve">svůj </w:t>
      </w:r>
      <w:r w:rsidR="002758E6">
        <w:rPr>
          <w:b/>
        </w:rPr>
        <w:t xml:space="preserve">hlavní výrobní závod </w:t>
      </w:r>
      <w:r w:rsidR="00314EF8">
        <w:rPr>
          <w:b/>
        </w:rPr>
        <w:t xml:space="preserve">s centrem </w:t>
      </w:r>
      <w:r w:rsidR="002758E6">
        <w:rPr>
          <w:b/>
        </w:rPr>
        <w:t>výzkumu a vý</w:t>
      </w:r>
      <w:r w:rsidR="00314EF8">
        <w:rPr>
          <w:b/>
        </w:rPr>
        <w:t>voje pro celou modulovou divizi</w:t>
      </w:r>
      <w:r w:rsidR="00D458B5" w:rsidRPr="00D458B5">
        <w:rPr>
          <w:b/>
        </w:rPr>
        <w:t xml:space="preserve">. </w:t>
      </w:r>
      <w:r w:rsidR="00314EF8">
        <w:rPr>
          <w:b/>
        </w:rPr>
        <w:t>Každoročně opus</w:t>
      </w:r>
      <w:r w:rsidR="008D49FD">
        <w:rPr>
          <w:b/>
        </w:rPr>
        <w:t xml:space="preserve">tí brány závodu několik tisíc modulů, které </w:t>
      </w:r>
      <w:r w:rsidR="00314EF8">
        <w:rPr>
          <w:b/>
        </w:rPr>
        <w:t xml:space="preserve">na </w:t>
      </w:r>
      <w:r w:rsidR="008D49FD">
        <w:rPr>
          <w:b/>
        </w:rPr>
        <w:t xml:space="preserve">místě určení slouží jako dočasné nájemní nebo trvalé objekty. </w:t>
      </w:r>
      <w:r w:rsidR="00066250">
        <w:rPr>
          <w:b/>
        </w:rPr>
        <w:t>Aby m</w:t>
      </w:r>
      <w:r w:rsidR="00314EF8">
        <w:rPr>
          <w:b/>
        </w:rPr>
        <w:t>ohly být moduly dopraveny na </w:t>
      </w:r>
      <w:r w:rsidR="002758E6">
        <w:rPr>
          <w:b/>
        </w:rPr>
        <w:t xml:space="preserve">příslušná místa po celém světě, </w:t>
      </w:r>
      <w:r w:rsidR="00066250">
        <w:rPr>
          <w:b/>
        </w:rPr>
        <w:t>je potřeba důmyslně promyslet všechny logistické operace</w:t>
      </w:r>
      <w:r w:rsidR="007F08E6">
        <w:rPr>
          <w:b/>
        </w:rPr>
        <w:t xml:space="preserve"> – zvlášť s ohledem na to, že často je třeba přepravit </w:t>
      </w:r>
      <w:r w:rsidR="006A2D48">
        <w:rPr>
          <w:b/>
        </w:rPr>
        <w:t>i moduly, z nichž po sestavení vznikne několikapodlažní budova.</w:t>
      </w:r>
    </w:p>
    <w:p w14:paraId="2916029B" w14:textId="77777777" w:rsidR="00F7704C" w:rsidRDefault="00F7704C" w:rsidP="00F7704C">
      <w:pPr>
        <w:spacing w:line="320" w:lineRule="atLeast"/>
        <w:jc w:val="both"/>
        <w:rPr>
          <w:i/>
        </w:rPr>
      </w:pPr>
    </w:p>
    <w:p w14:paraId="648A4EF9" w14:textId="6B8634F7" w:rsidR="00247915" w:rsidRPr="00C82F53" w:rsidRDefault="006A2D48" w:rsidP="00F7704C">
      <w:pPr>
        <w:spacing w:line="320" w:lineRule="atLeast"/>
        <w:jc w:val="both"/>
        <w:rPr>
          <w:i/>
        </w:rPr>
      </w:pPr>
      <w:r>
        <w:rPr>
          <w:i/>
        </w:rPr>
        <w:t xml:space="preserve">„Nejde jen o způsob přepravy modulů,“ </w:t>
      </w:r>
      <w:r>
        <w:t xml:space="preserve">komentuje Jan Petr, marketingový a exportní ředitel společnosti </w:t>
      </w:r>
      <w:hyperlink r:id="rId8" w:history="1">
        <w:r w:rsidRPr="00135B71">
          <w:rPr>
            <w:rStyle w:val="Hypertextovodkaz"/>
          </w:rPr>
          <w:t>Touax</w:t>
        </w:r>
      </w:hyperlink>
      <w:r>
        <w:t xml:space="preserve">. </w:t>
      </w:r>
      <w:r w:rsidR="00CB1EEC">
        <w:rPr>
          <w:i/>
        </w:rPr>
        <w:t>„D</w:t>
      </w:r>
      <w:r w:rsidR="00CB1EEC" w:rsidRPr="00CB1EEC">
        <w:rPr>
          <w:i/>
        </w:rPr>
        <w:t>ůležité je i vhodně zvolené přepravní balení a způsob manipulace s modulem po dobu nakládky, překládky, vykládky a samotné montáže konečné modulové budovy. Náklady na přepravu a montáž totiž vstupují do výsledné ceny objektu a málokterý zákazník je připravený utratit za tyto nezby</w:t>
      </w:r>
      <w:r w:rsidR="00CB1EEC">
        <w:rPr>
          <w:i/>
        </w:rPr>
        <w:t>tné služby stejně nebo více než</w:t>
      </w:r>
      <w:r w:rsidR="00CB1EEC" w:rsidRPr="00CB1EEC">
        <w:rPr>
          <w:i/>
        </w:rPr>
        <w:t xml:space="preserve"> za samotný objekt.</w:t>
      </w:r>
      <w:r w:rsidR="00CB1EEC">
        <w:rPr>
          <w:i/>
        </w:rPr>
        <w:t xml:space="preserve"> Výrobce proto musí mít</w:t>
      </w:r>
      <w:r w:rsidR="00CB1EEC" w:rsidRPr="00CB1EEC">
        <w:rPr>
          <w:i/>
        </w:rPr>
        <w:t xml:space="preserve"> chytře zvládnuté logistické řešení přepravy modulů z výrobního </w:t>
      </w:r>
      <w:r w:rsidR="00CB1EEC">
        <w:rPr>
          <w:i/>
        </w:rPr>
        <w:t>závodu na místo realizace budov</w:t>
      </w:r>
      <w:r w:rsidR="00CB1EEC" w:rsidRPr="00CB1EEC">
        <w:rPr>
          <w:i/>
        </w:rPr>
        <w:t xml:space="preserve">y. </w:t>
      </w:r>
      <w:r w:rsidR="00CB1EEC">
        <w:rPr>
          <w:i/>
        </w:rPr>
        <w:t xml:space="preserve">Jen tak </w:t>
      </w:r>
      <w:r w:rsidR="00C82F53">
        <w:rPr>
          <w:i/>
        </w:rPr>
        <w:t xml:space="preserve">lze zúročit všechny výhody modulových staveb, jimž jsou </w:t>
      </w:r>
      <w:r w:rsidR="00C82F53" w:rsidRPr="00C82F53">
        <w:rPr>
          <w:i/>
        </w:rPr>
        <w:t>rychlost realizace, mobilita</w:t>
      </w:r>
      <w:r w:rsidR="00C82F53">
        <w:rPr>
          <w:i/>
        </w:rPr>
        <w:t>,</w:t>
      </w:r>
      <w:r w:rsidR="00C82F53" w:rsidRPr="00C82F53">
        <w:rPr>
          <w:i/>
        </w:rPr>
        <w:t xml:space="preserve"> nižší investiční náklady a flexibilita.</w:t>
      </w:r>
      <w:r w:rsidR="00C82F53">
        <w:rPr>
          <w:i/>
        </w:rPr>
        <w:t>“</w:t>
      </w:r>
    </w:p>
    <w:p w14:paraId="059E1831" w14:textId="77777777" w:rsidR="008D49FD" w:rsidRDefault="008D49FD" w:rsidP="00F7704C">
      <w:pPr>
        <w:spacing w:line="320" w:lineRule="atLeast"/>
        <w:jc w:val="both"/>
      </w:pPr>
    </w:p>
    <w:p w14:paraId="68B2AF00" w14:textId="29F07ADA" w:rsidR="00F7704C" w:rsidRPr="00F7704C" w:rsidRDefault="00F7704C" w:rsidP="00F7704C">
      <w:pPr>
        <w:spacing w:line="320" w:lineRule="atLeast"/>
        <w:jc w:val="both"/>
        <w:rPr>
          <w:b/>
        </w:rPr>
      </w:pPr>
      <w:r>
        <w:rPr>
          <w:b/>
        </w:rPr>
        <w:t>Chytrá balení modulů šetří náklady na dopravu</w:t>
      </w:r>
    </w:p>
    <w:p w14:paraId="64590224" w14:textId="2E7D600F" w:rsidR="00D238EC" w:rsidRDefault="00D77F68" w:rsidP="00F7704C">
      <w:pPr>
        <w:spacing w:line="320" w:lineRule="atLeast"/>
        <w:jc w:val="both"/>
      </w:pPr>
      <w:r>
        <w:t xml:space="preserve">S ohledem na vlastnosti modulů a ekonomickou rentabilitu se pro jejich dodávky využívá pouze pozemní, říční a námořní, nikoli letecká doprava. </w:t>
      </w:r>
      <w:r>
        <w:rPr>
          <w:i/>
        </w:rPr>
        <w:t>„</w:t>
      </w:r>
      <w:r w:rsidR="00840396" w:rsidRPr="00D77F68">
        <w:rPr>
          <w:i/>
        </w:rPr>
        <w:t>M</w:t>
      </w:r>
      <w:r w:rsidR="00B71BDC" w:rsidRPr="00D77F68">
        <w:rPr>
          <w:i/>
        </w:rPr>
        <w:t>oduly</w:t>
      </w:r>
      <w:r w:rsidR="00674F9A" w:rsidRPr="00D77F68">
        <w:rPr>
          <w:i/>
        </w:rPr>
        <w:t xml:space="preserve"> z výrobního závodu </w:t>
      </w:r>
      <w:r w:rsidR="00066250" w:rsidRPr="00D77F68">
        <w:rPr>
          <w:i/>
        </w:rPr>
        <w:t>Touax</w:t>
      </w:r>
      <w:r w:rsidR="00674F9A" w:rsidRPr="00D77F68">
        <w:rPr>
          <w:i/>
        </w:rPr>
        <w:t xml:space="preserve">u v Supíkovicích </w:t>
      </w:r>
      <w:r w:rsidR="00066250" w:rsidRPr="00D77F68">
        <w:rPr>
          <w:i/>
        </w:rPr>
        <w:t>jsou</w:t>
      </w:r>
      <w:r w:rsidR="00840396" w:rsidRPr="00D77F68">
        <w:rPr>
          <w:i/>
        </w:rPr>
        <w:t xml:space="preserve"> </w:t>
      </w:r>
      <w:r>
        <w:rPr>
          <w:i/>
        </w:rPr>
        <w:t xml:space="preserve">v závislosti na místě určení </w:t>
      </w:r>
      <w:r w:rsidR="00066250" w:rsidRPr="00D77F68">
        <w:rPr>
          <w:i/>
        </w:rPr>
        <w:t>přepravovány</w:t>
      </w:r>
      <w:r w:rsidR="00B71BDC" w:rsidRPr="00D77F68">
        <w:rPr>
          <w:i/>
        </w:rPr>
        <w:t xml:space="preserve"> buď </w:t>
      </w:r>
      <w:r w:rsidR="00840396" w:rsidRPr="00D77F68">
        <w:rPr>
          <w:i/>
        </w:rPr>
        <w:t xml:space="preserve">jako </w:t>
      </w:r>
      <w:r w:rsidR="00B71BDC" w:rsidRPr="00D77F68">
        <w:rPr>
          <w:i/>
        </w:rPr>
        <w:t>již připravené k montáži do objektu</w:t>
      </w:r>
      <w:r>
        <w:rPr>
          <w:i/>
        </w:rPr>
        <w:t>,</w:t>
      </w:r>
      <w:r w:rsidR="00B71BDC" w:rsidRPr="00D77F68">
        <w:rPr>
          <w:i/>
        </w:rPr>
        <w:t xml:space="preserve"> nebo v tzv. přepravním balení</w:t>
      </w:r>
      <w:r w:rsidR="00DB16E8" w:rsidRPr="00D77F68">
        <w:rPr>
          <w:i/>
        </w:rPr>
        <w:t xml:space="preserve"> Extra Pack nebo Flat Pack</w:t>
      </w:r>
      <w:r w:rsidR="007E0DDC" w:rsidRPr="00D77F68">
        <w:rPr>
          <w:i/>
        </w:rPr>
        <w:t xml:space="preserve">. Tato </w:t>
      </w:r>
      <w:hyperlink r:id="rId9" w:history="1">
        <w:r w:rsidR="007E0DDC" w:rsidRPr="008C2C86">
          <w:rPr>
            <w:rStyle w:val="Hypertextovodkaz"/>
            <w:i/>
          </w:rPr>
          <w:t>balení</w:t>
        </w:r>
      </w:hyperlink>
      <w:r w:rsidR="007E0DDC" w:rsidRPr="00D77F68">
        <w:rPr>
          <w:i/>
        </w:rPr>
        <w:t xml:space="preserve"> byla vyvinuta s cílem snížit </w:t>
      </w:r>
      <w:r w:rsidR="00DC62AB" w:rsidRPr="00D77F68">
        <w:rPr>
          <w:i/>
        </w:rPr>
        <w:t>náklady na přepravu na minimum. Flat</w:t>
      </w:r>
      <w:r w:rsidR="008C2C86">
        <w:rPr>
          <w:i/>
        </w:rPr>
        <w:t xml:space="preserve"> </w:t>
      </w:r>
      <w:r w:rsidR="00DC62AB" w:rsidRPr="00D77F68">
        <w:rPr>
          <w:i/>
        </w:rPr>
        <w:t>Pack je balík, který tvoří smontovaná podlaha a strop modulu a mezi nimi je nabalena sada zbývajících komponentů. V případě Extra</w:t>
      </w:r>
      <w:r w:rsidR="008C2C86">
        <w:rPr>
          <w:i/>
        </w:rPr>
        <w:t xml:space="preserve"> </w:t>
      </w:r>
      <w:r w:rsidR="00DC62AB" w:rsidRPr="00D77F68">
        <w:rPr>
          <w:i/>
        </w:rPr>
        <w:t>Packu jsou podlah</w:t>
      </w:r>
      <w:r w:rsidR="008C2C86">
        <w:rPr>
          <w:i/>
        </w:rPr>
        <w:t>y</w:t>
      </w:r>
      <w:r w:rsidR="00DC62AB" w:rsidRPr="00D77F68">
        <w:rPr>
          <w:i/>
        </w:rPr>
        <w:t xml:space="preserve"> a strop modulu spolu s ostatními komponenty nabaleny samostatně do námořního kontejneru. V obou případech je ovšem potřeba na místě nejdříve každý modul vybalit, smontovat a až následně zahájit montáž celého objektu.</w:t>
      </w:r>
      <w:r w:rsidR="008C2C86">
        <w:rPr>
          <w:i/>
        </w:rPr>
        <w:t xml:space="preserve"> P</w:t>
      </w:r>
      <w:r w:rsidR="00B71BDC" w:rsidRPr="00D77F68">
        <w:rPr>
          <w:i/>
        </w:rPr>
        <w:t xml:space="preserve">řepravu v Evropě </w:t>
      </w:r>
      <w:r w:rsidR="00840396" w:rsidRPr="00D77F68">
        <w:rPr>
          <w:i/>
        </w:rPr>
        <w:t xml:space="preserve">a </w:t>
      </w:r>
      <w:r w:rsidR="008C2C86">
        <w:rPr>
          <w:i/>
        </w:rPr>
        <w:t xml:space="preserve">v </w:t>
      </w:r>
      <w:r w:rsidR="00840396" w:rsidRPr="00D77F68">
        <w:rPr>
          <w:i/>
        </w:rPr>
        <w:t xml:space="preserve">evropské části Ruska </w:t>
      </w:r>
      <w:r w:rsidR="008C2C86">
        <w:rPr>
          <w:i/>
        </w:rPr>
        <w:t>zajišťují standardní kamio</w:t>
      </w:r>
      <w:r w:rsidR="00B71BDC" w:rsidRPr="00D77F68">
        <w:rPr>
          <w:i/>
        </w:rPr>
        <w:t>ny</w:t>
      </w:r>
      <w:r w:rsidR="00DC62AB" w:rsidRPr="00D77F68">
        <w:rPr>
          <w:i/>
        </w:rPr>
        <w:t xml:space="preserve">, </w:t>
      </w:r>
      <w:r w:rsidR="008C2C86">
        <w:rPr>
          <w:i/>
        </w:rPr>
        <w:t>na které lze naložit vždy 2</w:t>
      </w:r>
      <w:r w:rsidR="00DC62AB" w:rsidRPr="00D77F68">
        <w:rPr>
          <w:i/>
        </w:rPr>
        <w:t xml:space="preserve"> kusy dokončených modulů nebo </w:t>
      </w:r>
      <w:r w:rsidR="008C2C86">
        <w:rPr>
          <w:i/>
        </w:rPr>
        <w:t>až 8 kusů modulů</w:t>
      </w:r>
      <w:r w:rsidR="00DC62AB" w:rsidRPr="00D77F68">
        <w:rPr>
          <w:i/>
        </w:rPr>
        <w:t xml:space="preserve"> v balení Flat Pack.</w:t>
      </w:r>
      <w:r w:rsidR="00B71BDC" w:rsidRPr="00D77F68">
        <w:rPr>
          <w:i/>
        </w:rPr>
        <w:t xml:space="preserve"> </w:t>
      </w:r>
      <w:r w:rsidR="008C2C86">
        <w:rPr>
          <w:i/>
        </w:rPr>
        <w:t xml:space="preserve">Pro doručení do zámoří </w:t>
      </w:r>
      <w:r w:rsidR="00B71BDC" w:rsidRPr="00D77F68">
        <w:rPr>
          <w:i/>
        </w:rPr>
        <w:t>se používá kombinovaná nákladní pře</w:t>
      </w:r>
      <w:r w:rsidR="008C2C86">
        <w:rPr>
          <w:i/>
        </w:rPr>
        <w:t xml:space="preserve">prava – na kamiony navazují </w:t>
      </w:r>
      <w:r w:rsidR="00E07B96" w:rsidRPr="00D77F68">
        <w:rPr>
          <w:i/>
        </w:rPr>
        <w:t>kontejnerové</w:t>
      </w:r>
      <w:r w:rsidR="00B71BDC" w:rsidRPr="00D77F68">
        <w:rPr>
          <w:i/>
        </w:rPr>
        <w:t xml:space="preserve"> lodě</w:t>
      </w:r>
      <w:r w:rsidR="00DC62AB" w:rsidRPr="00D77F68">
        <w:rPr>
          <w:i/>
        </w:rPr>
        <w:t xml:space="preserve">. </w:t>
      </w:r>
      <w:r w:rsidR="00E07B96" w:rsidRPr="00D77F68">
        <w:rPr>
          <w:i/>
        </w:rPr>
        <w:t>Zde hraje</w:t>
      </w:r>
      <w:r w:rsidR="00DC62AB" w:rsidRPr="00D77F68">
        <w:rPr>
          <w:i/>
        </w:rPr>
        <w:t xml:space="preserve"> prim balení Extra Pack s až 12 kusy modulů v námořním ko</w:t>
      </w:r>
      <w:r w:rsidR="00E07B96" w:rsidRPr="00D77F68">
        <w:rPr>
          <w:i/>
        </w:rPr>
        <w:t>n</w:t>
      </w:r>
      <w:r w:rsidR="00DC62AB" w:rsidRPr="00D77F68">
        <w:rPr>
          <w:i/>
        </w:rPr>
        <w:t>tejneru HC40</w:t>
      </w:r>
      <w:r w:rsidR="00E07B96" w:rsidRPr="00D77F68">
        <w:rPr>
          <w:i/>
        </w:rPr>
        <w:t xml:space="preserve">. Někdy se využívají i Flat Rack kontejnery, na které se v přístavu přeloží z kamionu </w:t>
      </w:r>
      <w:r w:rsidR="00EC4940" w:rsidRPr="00D77F68">
        <w:rPr>
          <w:i/>
        </w:rPr>
        <w:t xml:space="preserve">moduly Touax ve </w:t>
      </w:r>
      <w:r w:rsidR="008C2C86">
        <w:rPr>
          <w:i/>
        </w:rPr>
        <w:t xml:space="preserve">Flat Pack balení,“ </w:t>
      </w:r>
      <w:r w:rsidR="008C2C86" w:rsidRPr="008C2C86">
        <w:t>vysvětluje</w:t>
      </w:r>
      <w:r w:rsidR="008C2C86">
        <w:t xml:space="preserve"> Jan Petr.</w:t>
      </w:r>
      <w:r w:rsidR="00247915">
        <w:t xml:space="preserve"> K chytrému řešení celé logistiky přepravy modulů</w:t>
      </w:r>
      <w:r w:rsidR="00C67780">
        <w:t xml:space="preserve"> přispívá i to, že když se na místo stavby přepravují moduly ve více kamionech, mají jejich řidiči přesně stanovené pořadí na dojezdovou hodinu a vykládku; </w:t>
      </w:r>
      <w:r w:rsidR="00247915">
        <w:t xml:space="preserve">moduly </w:t>
      </w:r>
      <w:r w:rsidR="00C67780">
        <w:t xml:space="preserve">se totiž </w:t>
      </w:r>
      <w:r w:rsidR="00247915">
        <w:t>vy</w:t>
      </w:r>
      <w:r w:rsidR="00C67780">
        <w:t>kládají a umísťují do sestavy podle předem připravených plánů</w:t>
      </w:r>
      <w:r w:rsidR="00247915">
        <w:t>.</w:t>
      </w:r>
    </w:p>
    <w:p w14:paraId="43420C9B" w14:textId="1ADADD58" w:rsidR="000F7801" w:rsidRDefault="009115B0" w:rsidP="00F7704C">
      <w:pPr>
        <w:spacing w:line="320" w:lineRule="atLeast"/>
        <w:jc w:val="both"/>
        <w:rPr>
          <w:color w:val="FF0000"/>
        </w:rPr>
      </w:pPr>
      <w:r>
        <w:rPr>
          <w:noProof/>
          <w:color w:val="FF0000"/>
          <w:lang w:eastAsia="cs-CZ"/>
        </w:rPr>
        <w:drawing>
          <wp:anchor distT="0" distB="0" distL="114300" distR="114300" simplePos="0" relativeHeight="251658240" behindDoc="0" locked="0" layoutInCell="1" allowOverlap="1" wp14:anchorId="6AE8E2DB" wp14:editId="011AE305">
            <wp:simplePos x="0" y="0"/>
            <wp:positionH relativeFrom="margin">
              <wp:align>left</wp:align>
            </wp:positionH>
            <wp:positionV relativeFrom="margin">
              <wp:posOffset>7241540</wp:posOffset>
            </wp:positionV>
            <wp:extent cx="1838325" cy="137878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o s 8 ks FP 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37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74AC52" w14:textId="77777777" w:rsidR="000F7801" w:rsidRDefault="000F7801" w:rsidP="00F7704C">
      <w:pPr>
        <w:spacing w:line="320" w:lineRule="atLeast"/>
        <w:jc w:val="both"/>
        <w:rPr>
          <w:color w:val="FF0000"/>
        </w:rPr>
      </w:pPr>
    </w:p>
    <w:p w14:paraId="38A26476" w14:textId="77777777" w:rsidR="009115B0" w:rsidRDefault="009115B0" w:rsidP="00F7704C">
      <w:pPr>
        <w:spacing w:line="320" w:lineRule="atLeast"/>
        <w:jc w:val="both"/>
        <w:rPr>
          <w:i/>
        </w:rPr>
      </w:pPr>
    </w:p>
    <w:p w14:paraId="4703A6AC" w14:textId="337C0A42" w:rsidR="000F7801" w:rsidRPr="009115B0" w:rsidRDefault="009115B0" w:rsidP="00F7704C">
      <w:pPr>
        <w:spacing w:line="320" w:lineRule="atLeast"/>
        <w:jc w:val="both"/>
        <w:rPr>
          <w:i/>
        </w:rPr>
      </w:pPr>
      <w:r w:rsidRPr="009115B0">
        <w:rPr>
          <w:i/>
        </w:rPr>
        <w:t xml:space="preserve">Kamion s Flat Pack přepravním balením modulů opouští závod Touaxu v Supíkovicích </w:t>
      </w:r>
    </w:p>
    <w:p w14:paraId="721DE913" w14:textId="77777777" w:rsidR="000F7801" w:rsidRDefault="000F7801" w:rsidP="00F7704C">
      <w:pPr>
        <w:spacing w:line="320" w:lineRule="atLeast"/>
        <w:jc w:val="both"/>
        <w:rPr>
          <w:color w:val="FF0000"/>
        </w:rPr>
      </w:pPr>
    </w:p>
    <w:p w14:paraId="008380E2" w14:textId="77777777" w:rsidR="000F7801" w:rsidRDefault="000F7801" w:rsidP="00F7704C">
      <w:pPr>
        <w:spacing w:line="320" w:lineRule="atLeast"/>
        <w:jc w:val="both"/>
        <w:rPr>
          <w:color w:val="FF0000"/>
        </w:rPr>
      </w:pPr>
    </w:p>
    <w:p w14:paraId="4FF3FEB2" w14:textId="77777777" w:rsidR="000F7801" w:rsidRDefault="000F7801" w:rsidP="00F7704C">
      <w:pPr>
        <w:spacing w:line="320" w:lineRule="atLeast"/>
        <w:jc w:val="both"/>
        <w:rPr>
          <w:color w:val="FF0000"/>
        </w:rPr>
      </w:pPr>
    </w:p>
    <w:p w14:paraId="5E7ECD07" w14:textId="750BBA31" w:rsidR="000F7801" w:rsidRDefault="009115B0" w:rsidP="00F7704C">
      <w:pPr>
        <w:spacing w:line="320" w:lineRule="atLeast"/>
        <w:jc w:val="both"/>
        <w:rPr>
          <w:color w:val="FF0000"/>
        </w:rPr>
      </w:pPr>
      <w:r>
        <w:rPr>
          <w:noProof/>
          <w:color w:val="FF0000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76C45869" wp14:editId="120734F3">
            <wp:simplePos x="361950" y="1076325"/>
            <wp:positionH relativeFrom="margin">
              <wp:align>left</wp:align>
            </wp:positionH>
            <wp:positionV relativeFrom="margin">
              <wp:align>top</wp:align>
            </wp:positionV>
            <wp:extent cx="1800225" cy="1521190"/>
            <wp:effectExtent l="0" t="0" r="0" b="31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xtra Packy vertikalne nalozen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521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E3BDD2" w14:textId="77777777" w:rsidR="009115B0" w:rsidRDefault="009115B0" w:rsidP="00D238EC">
      <w:pPr>
        <w:spacing w:line="320" w:lineRule="atLeast"/>
        <w:jc w:val="both"/>
      </w:pPr>
    </w:p>
    <w:p w14:paraId="3987062D" w14:textId="51AABBB3" w:rsidR="009115B0" w:rsidRPr="009115B0" w:rsidRDefault="009115B0" w:rsidP="00D238EC">
      <w:pPr>
        <w:spacing w:line="320" w:lineRule="atLeast"/>
        <w:jc w:val="both"/>
        <w:rPr>
          <w:i/>
        </w:rPr>
      </w:pPr>
      <w:r>
        <w:rPr>
          <w:i/>
        </w:rPr>
        <w:t>Vertikálně naložené Extra Pack balení modulů Touax</w:t>
      </w:r>
    </w:p>
    <w:p w14:paraId="0C04B329" w14:textId="77777777" w:rsidR="009115B0" w:rsidRDefault="009115B0" w:rsidP="00D238EC">
      <w:pPr>
        <w:spacing w:line="320" w:lineRule="atLeast"/>
        <w:jc w:val="both"/>
      </w:pPr>
    </w:p>
    <w:p w14:paraId="2B59D1F6" w14:textId="77777777" w:rsidR="009115B0" w:rsidRDefault="009115B0" w:rsidP="00D238EC">
      <w:pPr>
        <w:spacing w:line="320" w:lineRule="atLeast"/>
        <w:jc w:val="both"/>
      </w:pPr>
    </w:p>
    <w:p w14:paraId="2FD88856" w14:textId="77777777" w:rsidR="009115B0" w:rsidRDefault="009115B0" w:rsidP="00D238EC">
      <w:pPr>
        <w:spacing w:line="320" w:lineRule="atLeast"/>
        <w:jc w:val="both"/>
      </w:pPr>
    </w:p>
    <w:p w14:paraId="20F3070A" w14:textId="77777777" w:rsidR="009115B0" w:rsidRDefault="009115B0" w:rsidP="00D238EC">
      <w:pPr>
        <w:spacing w:line="320" w:lineRule="atLeast"/>
        <w:jc w:val="both"/>
      </w:pPr>
    </w:p>
    <w:p w14:paraId="2661BC2A" w14:textId="77777777" w:rsidR="009115B0" w:rsidRDefault="009115B0" w:rsidP="00D238EC">
      <w:pPr>
        <w:spacing w:line="320" w:lineRule="atLeast"/>
        <w:jc w:val="both"/>
      </w:pPr>
    </w:p>
    <w:p w14:paraId="1DEFACE1" w14:textId="74087B58" w:rsidR="009115B0" w:rsidRDefault="009115B0" w:rsidP="00D238EC">
      <w:pPr>
        <w:spacing w:line="320" w:lineRule="atLeast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694BA03D" wp14:editId="69629A47">
            <wp:simplePos x="0" y="0"/>
            <wp:positionH relativeFrom="margin">
              <wp:align>left</wp:align>
            </wp:positionH>
            <wp:positionV relativeFrom="margin">
              <wp:posOffset>1697990</wp:posOffset>
            </wp:positionV>
            <wp:extent cx="1847850" cy="1185074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ykladka EP z HC40 - 0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47850" cy="1185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C7E7F7" w14:textId="77777777" w:rsidR="009115B0" w:rsidRDefault="009115B0" w:rsidP="00D238EC">
      <w:pPr>
        <w:spacing w:line="320" w:lineRule="atLeast"/>
        <w:jc w:val="both"/>
      </w:pPr>
    </w:p>
    <w:p w14:paraId="06C58DC2" w14:textId="27584577" w:rsidR="009115B0" w:rsidRPr="009115B0" w:rsidRDefault="009115B0" w:rsidP="00D238EC">
      <w:pPr>
        <w:spacing w:line="320" w:lineRule="atLeast"/>
        <w:jc w:val="both"/>
        <w:rPr>
          <w:i/>
        </w:rPr>
      </w:pPr>
      <w:r>
        <w:rPr>
          <w:i/>
        </w:rPr>
        <w:t>Vykládka modulů Touax v Extra Pack balení na místě určení</w:t>
      </w:r>
    </w:p>
    <w:p w14:paraId="63DBF788" w14:textId="77777777" w:rsidR="009115B0" w:rsidRDefault="009115B0" w:rsidP="00D238EC">
      <w:pPr>
        <w:spacing w:line="320" w:lineRule="atLeast"/>
        <w:jc w:val="both"/>
      </w:pPr>
    </w:p>
    <w:p w14:paraId="08B4151F" w14:textId="77777777" w:rsidR="009115B0" w:rsidRDefault="009115B0" w:rsidP="00D238EC">
      <w:pPr>
        <w:spacing w:line="320" w:lineRule="atLeast"/>
        <w:jc w:val="both"/>
      </w:pPr>
    </w:p>
    <w:p w14:paraId="7F9AEB46" w14:textId="77777777" w:rsidR="009115B0" w:rsidRDefault="009115B0" w:rsidP="00D238EC">
      <w:pPr>
        <w:spacing w:line="320" w:lineRule="atLeast"/>
        <w:jc w:val="both"/>
      </w:pPr>
    </w:p>
    <w:p w14:paraId="7540D24A" w14:textId="77777777" w:rsidR="009115B0" w:rsidRDefault="009115B0" w:rsidP="00D238EC">
      <w:pPr>
        <w:spacing w:line="320" w:lineRule="atLeast"/>
        <w:jc w:val="both"/>
      </w:pPr>
    </w:p>
    <w:p w14:paraId="3817FB90" w14:textId="1BC0916E" w:rsidR="00D238EC" w:rsidRPr="0098762C" w:rsidRDefault="00D238EC" w:rsidP="00D238EC">
      <w:pPr>
        <w:spacing w:line="320" w:lineRule="atLeast"/>
        <w:jc w:val="both"/>
      </w:pPr>
      <w:r>
        <w:t xml:space="preserve">Přeprava běžných modulů po silnici přitom nevyžaduje žádné zvláštní parametry kamionu. </w:t>
      </w:r>
      <w:r w:rsidR="0098762C">
        <w:t xml:space="preserve">Moduly obvykle bez problémů vyhoví požadavkům na nosnost u standardních kamionů. </w:t>
      </w:r>
      <w:r w:rsidR="0098762C">
        <w:rPr>
          <w:i/>
        </w:rPr>
        <w:t>„Pokud má modulová jednotka rozmě</w:t>
      </w:r>
      <w:r w:rsidRPr="0098762C">
        <w:rPr>
          <w:i/>
        </w:rPr>
        <w:t xml:space="preserve">ry ISO kontejneru (6055 x 2435 x 2790 mm), pak je nabídka </w:t>
      </w:r>
      <w:r w:rsidR="0098762C">
        <w:rPr>
          <w:i/>
        </w:rPr>
        <w:t>nákladních aut nejširší a přeprava nejlevnější</w:t>
      </w:r>
      <w:r w:rsidRPr="0098762C">
        <w:rPr>
          <w:i/>
        </w:rPr>
        <w:t xml:space="preserve">. Při </w:t>
      </w:r>
      <w:r w:rsidR="0098762C">
        <w:rPr>
          <w:i/>
        </w:rPr>
        <w:t>případném zvyšování rozměrů (výška, šířka i dé</w:t>
      </w:r>
      <w:r w:rsidRPr="0098762C">
        <w:rPr>
          <w:i/>
        </w:rPr>
        <w:t xml:space="preserve">lka) </w:t>
      </w:r>
      <w:r w:rsidR="0098762C">
        <w:rPr>
          <w:i/>
        </w:rPr>
        <w:t>již jde o nadrozměrný</w:t>
      </w:r>
      <w:r w:rsidRPr="0098762C">
        <w:rPr>
          <w:i/>
        </w:rPr>
        <w:t xml:space="preserve"> </w:t>
      </w:r>
      <w:r w:rsidR="0098762C">
        <w:rPr>
          <w:i/>
        </w:rPr>
        <w:t xml:space="preserve">náklad s vyššími náklady na přepravu, nižší </w:t>
      </w:r>
      <w:r w:rsidR="00156CC6">
        <w:rPr>
          <w:i/>
        </w:rPr>
        <w:t>disponibilitou vhodných aut i po</w:t>
      </w:r>
      <w:r w:rsidR="0098762C">
        <w:rPr>
          <w:i/>
        </w:rPr>
        <w:t>tížemi s volbou trasy v důsledku objížděk kvůli překážkám na trati (podjezdy, šíř</w:t>
      </w:r>
      <w:r w:rsidRPr="0098762C">
        <w:rPr>
          <w:i/>
        </w:rPr>
        <w:t>ka silni</w:t>
      </w:r>
      <w:r w:rsidR="0098762C">
        <w:rPr>
          <w:i/>
        </w:rPr>
        <w:t>c aj.</w:t>
      </w:r>
      <w:r w:rsidRPr="0098762C">
        <w:rPr>
          <w:i/>
        </w:rPr>
        <w:t>). Problematick</w:t>
      </w:r>
      <w:r w:rsidR="0098762C">
        <w:rPr>
          <w:i/>
        </w:rPr>
        <w:t>á může byt i dostupnost cílového mí</w:t>
      </w:r>
      <w:r w:rsidRPr="0098762C">
        <w:rPr>
          <w:i/>
        </w:rPr>
        <w:t>sta –</w:t>
      </w:r>
      <w:r w:rsidR="0098762C">
        <w:rPr>
          <w:i/>
        </w:rPr>
        <w:t xml:space="preserve"> má</w:t>
      </w:r>
      <w:r w:rsidRPr="0098762C">
        <w:rPr>
          <w:i/>
        </w:rPr>
        <w:t xml:space="preserve">lo </w:t>
      </w:r>
      <w:r w:rsidR="0098762C">
        <w:rPr>
          <w:i/>
        </w:rPr>
        <w:t>prostoru pro nákladní vů</w:t>
      </w:r>
      <w:r w:rsidRPr="0098762C">
        <w:rPr>
          <w:i/>
        </w:rPr>
        <w:t>z</w:t>
      </w:r>
      <w:r w:rsidR="0098762C">
        <w:rPr>
          <w:i/>
        </w:rPr>
        <w:t xml:space="preserve"> i pro manipulaci jeřábem, nedostatečné podloží pro těžkou techniku, překáž</w:t>
      </w:r>
      <w:r w:rsidRPr="0098762C">
        <w:rPr>
          <w:i/>
        </w:rPr>
        <w:t>ky typu stromy atd.</w:t>
      </w:r>
      <w:r w:rsidR="0098762C">
        <w:rPr>
          <w:i/>
        </w:rPr>
        <w:t>,“</w:t>
      </w:r>
      <w:r w:rsidR="0098762C">
        <w:t xml:space="preserve"> dodává Jan Petr.</w:t>
      </w:r>
    </w:p>
    <w:p w14:paraId="45B40308" w14:textId="7E5A6F7B" w:rsidR="00D238EC" w:rsidRDefault="00D238EC" w:rsidP="00F7704C">
      <w:pPr>
        <w:spacing w:line="320" w:lineRule="atLeast"/>
        <w:jc w:val="both"/>
        <w:rPr>
          <w:color w:val="FF0000"/>
        </w:rPr>
      </w:pPr>
    </w:p>
    <w:p w14:paraId="711FE7DA" w14:textId="2E527315" w:rsidR="00005274" w:rsidRPr="00005274" w:rsidRDefault="00005274" w:rsidP="00F7704C">
      <w:pPr>
        <w:spacing w:line="320" w:lineRule="atLeast"/>
        <w:jc w:val="both"/>
        <w:rPr>
          <w:b/>
        </w:rPr>
      </w:pPr>
      <w:r>
        <w:rPr>
          <w:b/>
        </w:rPr>
        <w:t>Unikátní stěhování modulové kancelářské budovy</w:t>
      </w:r>
      <w:r w:rsidR="005F1F58">
        <w:rPr>
          <w:b/>
        </w:rPr>
        <w:t xml:space="preserve"> z Česka </w:t>
      </w:r>
      <w:r w:rsidR="00F7704C">
        <w:rPr>
          <w:b/>
        </w:rPr>
        <w:t>do rafinérie v Belgii</w:t>
      </w:r>
      <w:r>
        <w:rPr>
          <w:b/>
        </w:rPr>
        <w:t>: na lodi a vcelku</w:t>
      </w:r>
    </w:p>
    <w:p w14:paraId="3D3E105A" w14:textId="445B55DA" w:rsidR="00B71BDC" w:rsidRDefault="00B71BDC" w:rsidP="00F7704C">
      <w:pPr>
        <w:spacing w:line="320" w:lineRule="atLeast"/>
        <w:jc w:val="both"/>
      </w:pPr>
      <w:r>
        <w:t>Zajímavým příkladem</w:t>
      </w:r>
      <w:r w:rsidR="00066250">
        <w:t xml:space="preserve"> </w:t>
      </w:r>
      <w:r w:rsidR="00EC4940">
        <w:t>velmi</w:t>
      </w:r>
      <w:r w:rsidR="00066250">
        <w:t xml:space="preserve"> specifické přepravy, kterou Touax realizoval v roce</w:t>
      </w:r>
      <w:r w:rsidR="00E07B96">
        <w:t xml:space="preserve"> 2015</w:t>
      </w:r>
      <w:r w:rsidR="00066250">
        <w:t xml:space="preserve">, může být </w:t>
      </w:r>
      <w:r>
        <w:t>zakázka</w:t>
      </w:r>
      <w:r w:rsidR="00066250">
        <w:t xml:space="preserve"> </w:t>
      </w:r>
      <w:r>
        <w:t xml:space="preserve">na klíč pro jednu ze světových korporací na těžbu a zpracování ropy a zemního plynu. </w:t>
      </w:r>
      <w:r w:rsidR="00005274">
        <w:t>20 modulů bylo po dvou</w:t>
      </w:r>
      <w:r w:rsidR="005A7199">
        <w:t xml:space="preserve"> kusech převezeno kamiony </w:t>
      </w:r>
      <w:r w:rsidR="00005274">
        <w:t xml:space="preserve">do </w:t>
      </w:r>
      <w:r w:rsidR="005A7199" w:rsidRPr="00B1575B">
        <w:t>holandského depa Touaxu v</w:t>
      </w:r>
      <w:r w:rsidR="005A7199">
        <w:t> </w:t>
      </w:r>
      <w:r w:rsidR="005A7199" w:rsidRPr="00B1575B">
        <w:t>Moerdijku</w:t>
      </w:r>
      <w:r w:rsidR="005A7199">
        <w:t xml:space="preserve">, kde </w:t>
      </w:r>
      <w:r w:rsidR="005F703A">
        <w:t xml:space="preserve">z nich byla vybudována dvoupodlažní budova o </w:t>
      </w:r>
      <w:r w:rsidR="005A7199" w:rsidRPr="00B1575B">
        <w:t xml:space="preserve">půdorysu </w:t>
      </w:r>
      <w:r w:rsidR="00005274">
        <w:t>25 x 7,5 </w:t>
      </w:r>
      <w:r w:rsidR="00CC33D5">
        <w:t>m a </w:t>
      </w:r>
      <w:r w:rsidR="005A7199" w:rsidRPr="009633A2">
        <w:t>výšce 7 m</w:t>
      </w:r>
      <w:r w:rsidR="005F703A">
        <w:t>. Budova byla osazena fasádou a rozdělena do dvou velkých samostatných bloků.</w:t>
      </w:r>
      <w:r w:rsidR="00F7704C">
        <w:t xml:space="preserve"> Oba bloky pak</w:t>
      </w:r>
      <w:r w:rsidR="005F703A">
        <w:t xml:space="preserve"> k</w:t>
      </w:r>
      <w:r w:rsidR="00F7704C">
        <w:t>amiony převezly</w:t>
      </w:r>
      <w:r w:rsidR="005A7199" w:rsidRPr="00B1575B">
        <w:t xml:space="preserve"> do přístavu v belgických Antverpách</w:t>
      </w:r>
      <w:r w:rsidR="005F703A">
        <w:t xml:space="preserve">, </w:t>
      </w:r>
      <w:r w:rsidR="00F7704C">
        <w:t xml:space="preserve">kde byly </w:t>
      </w:r>
      <w:r w:rsidR="005F703A">
        <w:t xml:space="preserve">přeloženy na pontony a převezeny nákladní lodí </w:t>
      </w:r>
      <w:r w:rsidR="005A7199" w:rsidRPr="00B1575B">
        <w:t>35 km na mí</w:t>
      </w:r>
      <w:r w:rsidR="00F7704C">
        <w:t>sto určení do doků Marshalldok. Tam</w:t>
      </w:r>
      <w:r w:rsidR="005F703A">
        <w:rPr>
          <w:color w:val="000000" w:themeColor="text1"/>
        </w:rPr>
        <w:t xml:space="preserve"> je u</w:t>
      </w:r>
      <w:r w:rsidR="005A7199" w:rsidRPr="00B1575B">
        <w:rPr>
          <w:color w:val="000000" w:themeColor="text1"/>
        </w:rPr>
        <w:t>sadil p</w:t>
      </w:r>
      <w:r w:rsidR="005A7199" w:rsidRPr="00B1575B">
        <w:t>lovoucí jeř</w:t>
      </w:r>
      <w:r w:rsidR="005F703A">
        <w:t>áb s kapacitou zdvihu 800 tun na betonové základy v zázemí rafinérie</w:t>
      </w:r>
      <w:r w:rsidR="005A7199" w:rsidRPr="00B1575B">
        <w:t xml:space="preserve">. </w:t>
      </w:r>
      <w:r w:rsidRPr="003D3F27">
        <w:t>Na místo tak dorazila již kompletně postavená kancelářská budova</w:t>
      </w:r>
      <w:r w:rsidR="005F703A">
        <w:t xml:space="preserve"> o dvou sekcích.</w:t>
      </w:r>
      <w:r>
        <w:t xml:space="preserve"> </w:t>
      </w:r>
    </w:p>
    <w:p w14:paraId="425770B9" w14:textId="44A33E78" w:rsidR="009115B0" w:rsidRPr="00436A8C" w:rsidRDefault="00CC33D5" w:rsidP="009115B0">
      <w:pPr>
        <w:spacing w:line="360" w:lineRule="auto"/>
        <w:jc w:val="both"/>
        <w:rPr>
          <w:i/>
          <w:u w:val="single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2A4A76F6" wp14:editId="1DA9CD96">
            <wp:simplePos x="0" y="0"/>
            <wp:positionH relativeFrom="margin">
              <wp:align>left</wp:align>
            </wp:positionH>
            <wp:positionV relativeFrom="margin">
              <wp:posOffset>6448425</wp:posOffset>
            </wp:positionV>
            <wp:extent cx="1840865" cy="1381125"/>
            <wp:effectExtent l="0" t="0" r="6985" b="952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86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2E9DF5" w14:textId="45A05AD5" w:rsidR="009115B0" w:rsidRDefault="00CC33D5" w:rsidP="009115B0">
      <w:pPr>
        <w:spacing w:after="200" w:line="360" w:lineRule="auto"/>
        <w:jc w:val="both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5408" behindDoc="0" locked="0" layoutInCell="1" allowOverlap="1" wp14:anchorId="59E47C4B" wp14:editId="7D8A9D91">
            <wp:simplePos x="0" y="0"/>
            <wp:positionH relativeFrom="margin">
              <wp:posOffset>3040380</wp:posOffset>
            </wp:positionH>
            <wp:positionV relativeFrom="margin">
              <wp:posOffset>6605905</wp:posOffset>
            </wp:positionV>
            <wp:extent cx="1609865" cy="1207436"/>
            <wp:effectExtent l="0" t="0" r="0" b="0"/>
            <wp:wrapSquare wrapText="bothSides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865" cy="12074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3CB45" w14:textId="0FCC51EA" w:rsidR="009115B0" w:rsidRDefault="009115B0" w:rsidP="009115B0">
      <w:pPr>
        <w:spacing w:after="200" w:line="360" w:lineRule="auto"/>
        <w:jc w:val="both"/>
        <w:rPr>
          <w:b/>
        </w:rPr>
      </w:pPr>
    </w:p>
    <w:p w14:paraId="3BC15EF7" w14:textId="232EE219" w:rsidR="009115B0" w:rsidRDefault="009115B0" w:rsidP="009115B0">
      <w:pPr>
        <w:spacing w:after="200" w:line="360" w:lineRule="auto"/>
        <w:jc w:val="both"/>
        <w:rPr>
          <w:b/>
        </w:rPr>
      </w:pPr>
    </w:p>
    <w:p w14:paraId="44D7D17F" w14:textId="77777777" w:rsidR="00156CC6" w:rsidRDefault="00156CC6" w:rsidP="009115B0">
      <w:pPr>
        <w:spacing w:line="360" w:lineRule="auto"/>
        <w:jc w:val="both"/>
        <w:rPr>
          <w:b/>
        </w:rPr>
      </w:pPr>
    </w:p>
    <w:p w14:paraId="4A645867" w14:textId="77777777" w:rsidR="00CC33D5" w:rsidRDefault="00CC33D5" w:rsidP="00156CC6">
      <w:pPr>
        <w:jc w:val="both"/>
        <w:rPr>
          <w:i/>
        </w:rPr>
      </w:pPr>
    </w:p>
    <w:p w14:paraId="7BC11EDD" w14:textId="2AC72DA9" w:rsidR="00156CC6" w:rsidRDefault="00CC33D5" w:rsidP="00156CC6">
      <w:pPr>
        <w:jc w:val="both"/>
      </w:pPr>
      <w:r>
        <w:rPr>
          <w:i/>
        </w:rPr>
        <w:t xml:space="preserve">1. </w:t>
      </w:r>
      <w:r w:rsidR="009115B0" w:rsidRPr="00156CC6">
        <w:rPr>
          <w:i/>
        </w:rPr>
        <w:t xml:space="preserve">Smontování modulové administrativní </w:t>
      </w:r>
      <w:r>
        <w:rPr>
          <w:i/>
        </w:rPr>
        <w:t xml:space="preserve">                     </w:t>
      </w:r>
      <w:r w:rsidR="00156CC6" w:rsidRPr="00156CC6">
        <w:rPr>
          <w:i/>
        </w:rPr>
        <w:t>2. Přeložení bloků na kamiony</w:t>
      </w:r>
    </w:p>
    <w:p w14:paraId="797E4C6E" w14:textId="3AC9F5CD" w:rsidR="009115B0" w:rsidRPr="00156CC6" w:rsidRDefault="009115B0" w:rsidP="00156CC6">
      <w:pPr>
        <w:jc w:val="both"/>
      </w:pPr>
      <w:r w:rsidRPr="009115B0">
        <w:rPr>
          <w:i/>
        </w:rPr>
        <w:t>budovy v holandském depu Touaxu v</w:t>
      </w:r>
      <w:r w:rsidR="00156CC6">
        <w:rPr>
          <w:i/>
        </w:rPr>
        <w:t> </w:t>
      </w:r>
      <w:r w:rsidRPr="009115B0">
        <w:rPr>
          <w:i/>
        </w:rPr>
        <w:t>Moerdijku</w:t>
      </w:r>
      <w:r w:rsidR="00156CC6">
        <w:rPr>
          <w:i/>
        </w:rPr>
        <w:t>.</w:t>
      </w:r>
    </w:p>
    <w:p w14:paraId="23B88976" w14:textId="77777777" w:rsidR="009115B0" w:rsidRDefault="009115B0" w:rsidP="009115B0">
      <w:pPr>
        <w:spacing w:after="200" w:line="360" w:lineRule="auto"/>
        <w:jc w:val="both"/>
        <w:rPr>
          <w:b/>
        </w:rPr>
      </w:pPr>
    </w:p>
    <w:p w14:paraId="3315C067" w14:textId="4E31EC52" w:rsidR="009115B0" w:rsidRDefault="00156CC6" w:rsidP="009115B0">
      <w:pPr>
        <w:spacing w:after="200" w:line="360" w:lineRule="auto"/>
        <w:jc w:val="both"/>
        <w:rPr>
          <w:b/>
        </w:rPr>
      </w:pPr>
      <w:r>
        <w:rPr>
          <w:b/>
          <w:noProof/>
          <w:lang w:eastAsia="cs-CZ"/>
        </w:rPr>
        <w:lastRenderedPageBreak/>
        <w:drawing>
          <wp:anchor distT="0" distB="0" distL="114300" distR="114300" simplePos="0" relativeHeight="251667456" behindDoc="0" locked="0" layoutInCell="1" allowOverlap="1" wp14:anchorId="06513A8E" wp14:editId="61CD7207">
            <wp:simplePos x="0" y="0"/>
            <wp:positionH relativeFrom="margin">
              <wp:posOffset>3373755</wp:posOffset>
            </wp:positionH>
            <wp:positionV relativeFrom="margin">
              <wp:posOffset>-635</wp:posOffset>
            </wp:positionV>
            <wp:extent cx="1859915" cy="1189355"/>
            <wp:effectExtent l="0" t="0" r="6985" b="0"/>
            <wp:wrapSquare wrapText="bothSides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915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 wp14:anchorId="2EDA3159" wp14:editId="146D59BA">
            <wp:simplePos x="361950" y="1076325"/>
            <wp:positionH relativeFrom="margin">
              <wp:align>left</wp:align>
            </wp:positionH>
            <wp:positionV relativeFrom="margin">
              <wp:align>top</wp:align>
            </wp:positionV>
            <wp:extent cx="1638300" cy="1235075"/>
            <wp:effectExtent l="0" t="0" r="0" b="3175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83" cy="1237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482ECA2" w14:textId="77777777" w:rsidR="009115B0" w:rsidRDefault="009115B0" w:rsidP="009115B0">
      <w:pPr>
        <w:spacing w:after="200" w:line="360" w:lineRule="auto"/>
        <w:jc w:val="both"/>
        <w:rPr>
          <w:b/>
        </w:rPr>
      </w:pPr>
    </w:p>
    <w:p w14:paraId="0DBCEC0E" w14:textId="77777777" w:rsidR="009115B0" w:rsidRDefault="009115B0" w:rsidP="009115B0">
      <w:pPr>
        <w:spacing w:after="200" w:line="360" w:lineRule="auto"/>
        <w:jc w:val="both"/>
        <w:rPr>
          <w:b/>
        </w:rPr>
      </w:pPr>
    </w:p>
    <w:p w14:paraId="479E4CD8" w14:textId="3110D65E" w:rsidR="009115B0" w:rsidRDefault="009115B0" w:rsidP="009115B0">
      <w:pPr>
        <w:spacing w:after="200" w:line="360" w:lineRule="auto"/>
        <w:jc w:val="both"/>
        <w:rPr>
          <w:b/>
        </w:rPr>
      </w:pPr>
    </w:p>
    <w:p w14:paraId="5FF51EFF" w14:textId="7E6451A9" w:rsidR="009115B0" w:rsidRPr="00156CC6" w:rsidRDefault="00156CC6" w:rsidP="00156CC6">
      <w:pPr>
        <w:spacing w:line="360" w:lineRule="auto"/>
        <w:jc w:val="both"/>
        <w:rPr>
          <w:i/>
        </w:rPr>
      </w:pPr>
      <w:r w:rsidRPr="00156CC6">
        <w:rPr>
          <w:i/>
        </w:rPr>
        <w:t xml:space="preserve">3. </w:t>
      </w:r>
      <w:r w:rsidR="009115B0" w:rsidRPr="00156CC6">
        <w:rPr>
          <w:i/>
        </w:rPr>
        <w:t>Převoz do přístavu v belgických Antverpách</w:t>
      </w:r>
      <w:r>
        <w:rPr>
          <w:i/>
        </w:rPr>
        <w:tab/>
      </w:r>
      <w:r>
        <w:rPr>
          <w:i/>
        </w:rPr>
        <w:tab/>
        <w:t xml:space="preserve">      4</w:t>
      </w:r>
      <w:r w:rsidRPr="00156CC6">
        <w:rPr>
          <w:i/>
        </w:rPr>
        <w:t xml:space="preserve">. </w:t>
      </w:r>
      <w:r w:rsidR="009115B0" w:rsidRPr="00156CC6">
        <w:rPr>
          <w:i/>
        </w:rPr>
        <w:t>Převoz celých bloků na lodi do doků Marshalldok</w:t>
      </w:r>
    </w:p>
    <w:p w14:paraId="59B2F49A" w14:textId="699DB96C" w:rsidR="009115B0" w:rsidRDefault="00156CC6" w:rsidP="009115B0">
      <w:pPr>
        <w:spacing w:after="200" w:line="360" w:lineRule="auto"/>
        <w:jc w:val="both"/>
        <w:rPr>
          <w:b/>
        </w:rPr>
      </w:pPr>
      <w:r w:rsidRPr="00B75763">
        <w:rPr>
          <w:noProof/>
          <w:u w:val="single"/>
          <w:lang w:eastAsia="cs-CZ"/>
        </w:rPr>
        <w:drawing>
          <wp:anchor distT="0" distB="0" distL="114300" distR="114300" simplePos="0" relativeHeight="251663360" behindDoc="1" locked="0" layoutInCell="1" allowOverlap="1" wp14:anchorId="33EAB924" wp14:editId="4AE36CAA">
            <wp:simplePos x="0" y="0"/>
            <wp:positionH relativeFrom="column">
              <wp:posOffset>3373755</wp:posOffset>
            </wp:positionH>
            <wp:positionV relativeFrom="paragraph">
              <wp:posOffset>5715</wp:posOffset>
            </wp:positionV>
            <wp:extent cx="1766570" cy="1177925"/>
            <wp:effectExtent l="0" t="0" r="5080" b="3175"/>
            <wp:wrapTight wrapText="bothSides">
              <wp:wrapPolygon edited="0">
                <wp:start x="0" y="0"/>
                <wp:lineTo x="0" y="21309"/>
                <wp:lineTo x="21429" y="21309"/>
                <wp:lineTo x="21429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570" cy="117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75763">
        <w:rPr>
          <w:noProof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 wp14:anchorId="377DD73B" wp14:editId="727BCAFE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727200" cy="1152525"/>
            <wp:effectExtent l="0" t="0" r="6350" b="0"/>
            <wp:wrapTight wrapText="bothSides">
              <wp:wrapPolygon edited="0">
                <wp:start x="0" y="0"/>
                <wp:lineTo x="0" y="21064"/>
                <wp:lineTo x="21441" y="21064"/>
                <wp:lineTo x="21441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0585" cy="115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CC9DD6" w14:textId="77777777" w:rsidR="00156CC6" w:rsidRPr="00156CC6" w:rsidRDefault="00156CC6" w:rsidP="00156CC6">
      <w:pPr>
        <w:pStyle w:val="Odstavecseseznamem"/>
        <w:spacing w:after="200" w:line="360" w:lineRule="auto"/>
        <w:ind w:left="360"/>
        <w:rPr>
          <w:u w:val="single"/>
        </w:rPr>
      </w:pPr>
    </w:p>
    <w:p w14:paraId="71CFD9AE" w14:textId="77777777" w:rsidR="00156CC6" w:rsidRPr="00156CC6" w:rsidRDefault="00156CC6" w:rsidP="00156CC6">
      <w:pPr>
        <w:pStyle w:val="Odstavecseseznamem"/>
        <w:spacing w:after="200" w:line="360" w:lineRule="auto"/>
        <w:ind w:left="360"/>
        <w:rPr>
          <w:u w:val="single"/>
        </w:rPr>
      </w:pPr>
    </w:p>
    <w:p w14:paraId="4DDED83A" w14:textId="77777777" w:rsidR="00156CC6" w:rsidRPr="00156CC6" w:rsidRDefault="00156CC6" w:rsidP="00156CC6">
      <w:pPr>
        <w:pStyle w:val="Odstavecseseznamem"/>
        <w:spacing w:after="200" w:line="360" w:lineRule="auto"/>
        <w:ind w:left="360"/>
        <w:rPr>
          <w:u w:val="single"/>
        </w:rPr>
      </w:pPr>
    </w:p>
    <w:p w14:paraId="415E9B3A" w14:textId="6C5AD745" w:rsidR="009115B0" w:rsidRPr="00156CC6" w:rsidRDefault="00156CC6" w:rsidP="00156CC6">
      <w:pPr>
        <w:spacing w:after="200" w:line="360" w:lineRule="auto"/>
        <w:rPr>
          <w:rStyle w:val="Hypertextovodkaz"/>
          <w:i/>
          <w:color w:val="auto"/>
        </w:rPr>
      </w:pPr>
      <w:r w:rsidRPr="00156CC6">
        <w:rPr>
          <w:i/>
        </w:rPr>
        <w:t xml:space="preserve">5. </w:t>
      </w:r>
      <w:r w:rsidR="009115B0" w:rsidRPr="00156CC6">
        <w:rPr>
          <w:i/>
        </w:rPr>
        <w:t>Přestěhování bloků pomocí plovoucího jeřábu s kapacitou zdvihu 800 tun do betonových základů</w:t>
      </w:r>
    </w:p>
    <w:p w14:paraId="6575CD65" w14:textId="46D4C43B" w:rsidR="009115B0" w:rsidRPr="009633A2" w:rsidRDefault="00156CC6" w:rsidP="009115B0">
      <w:pPr>
        <w:spacing w:after="200" w:line="360" w:lineRule="auto"/>
        <w:rPr>
          <w:u w:val="single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68480" behindDoc="0" locked="0" layoutInCell="1" allowOverlap="1" wp14:anchorId="3969477C" wp14:editId="7A5D285E">
            <wp:simplePos x="0" y="0"/>
            <wp:positionH relativeFrom="margin">
              <wp:align>left</wp:align>
            </wp:positionH>
            <wp:positionV relativeFrom="margin">
              <wp:posOffset>3338830</wp:posOffset>
            </wp:positionV>
            <wp:extent cx="2183765" cy="1228725"/>
            <wp:effectExtent l="0" t="0" r="6985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374" cy="12309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B2FC1E" w14:textId="2F612779" w:rsidR="009115B0" w:rsidRPr="00156CC6" w:rsidRDefault="00156CC6" w:rsidP="00156CC6">
      <w:pPr>
        <w:spacing w:after="200" w:line="360" w:lineRule="auto"/>
        <w:jc w:val="both"/>
        <w:rPr>
          <w:i/>
          <w:u w:val="single"/>
        </w:rPr>
      </w:pPr>
      <w:r w:rsidRPr="00156CC6">
        <w:rPr>
          <w:i/>
        </w:rPr>
        <w:t xml:space="preserve">6. </w:t>
      </w:r>
      <w:r w:rsidR="009115B0" w:rsidRPr="00156CC6">
        <w:rPr>
          <w:i/>
        </w:rPr>
        <w:t>Modulová budova následně začala sloužit jako administrativní zázemí v rafinérii</w:t>
      </w:r>
    </w:p>
    <w:p w14:paraId="737EE69C" w14:textId="61F83CE8" w:rsidR="009115B0" w:rsidRPr="00B75763" w:rsidRDefault="009115B0" w:rsidP="009115B0">
      <w:pPr>
        <w:spacing w:after="200" w:line="360" w:lineRule="auto"/>
        <w:rPr>
          <w:rStyle w:val="Hypertextovodkaz"/>
          <w:color w:val="auto"/>
        </w:rPr>
      </w:pPr>
    </w:p>
    <w:p w14:paraId="6496B0AE" w14:textId="2B144329" w:rsidR="00066250" w:rsidRDefault="00066250" w:rsidP="00F7704C">
      <w:pPr>
        <w:spacing w:line="320" w:lineRule="atLeast"/>
        <w:jc w:val="both"/>
        <w:rPr>
          <w:color w:val="FF0000"/>
        </w:rPr>
      </w:pPr>
    </w:p>
    <w:p w14:paraId="19088F11" w14:textId="539627E6" w:rsidR="009115B0" w:rsidRDefault="009115B0" w:rsidP="00F7704C">
      <w:pPr>
        <w:spacing w:line="320" w:lineRule="atLeast"/>
        <w:jc w:val="both"/>
        <w:rPr>
          <w:color w:val="FF0000"/>
        </w:rPr>
      </w:pPr>
    </w:p>
    <w:p w14:paraId="400C3443" w14:textId="362F6FAE" w:rsidR="00E52CB4" w:rsidRDefault="00E52CB4" w:rsidP="00F7704C">
      <w:pPr>
        <w:spacing w:line="320" w:lineRule="atLeast"/>
        <w:jc w:val="both"/>
        <w:rPr>
          <w:b/>
        </w:rPr>
      </w:pPr>
      <w:r>
        <w:rPr>
          <w:b/>
        </w:rPr>
        <w:t xml:space="preserve">Z Jeseníků </w:t>
      </w:r>
      <w:r w:rsidR="005F1F58">
        <w:rPr>
          <w:b/>
        </w:rPr>
        <w:t xml:space="preserve">až </w:t>
      </w:r>
      <w:r>
        <w:rPr>
          <w:b/>
        </w:rPr>
        <w:t>do Ria</w:t>
      </w:r>
      <w:r w:rsidR="00D238EC">
        <w:rPr>
          <w:b/>
        </w:rPr>
        <w:t xml:space="preserve">: 214 modulů ve 36 kontejnerech na pěti </w:t>
      </w:r>
      <w:r w:rsidR="00707507">
        <w:rPr>
          <w:b/>
        </w:rPr>
        <w:t>kontejnerových</w:t>
      </w:r>
      <w:r w:rsidR="00D238EC">
        <w:rPr>
          <w:b/>
        </w:rPr>
        <w:t xml:space="preserve"> lodích</w:t>
      </w:r>
    </w:p>
    <w:p w14:paraId="5655F58E" w14:textId="18B36DBE" w:rsidR="00CC51A8" w:rsidRPr="00CC51A8" w:rsidRDefault="00072278" w:rsidP="00F7704C">
      <w:pPr>
        <w:spacing w:line="320" w:lineRule="atLeast"/>
        <w:jc w:val="both"/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70528" behindDoc="1" locked="0" layoutInCell="1" allowOverlap="1" wp14:anchorId="3B9A13C6" wp14:editId="37EDF28A">
            <wp:simplePos x="0" y="0"/>
            <wp:positionH relativeFrom="margin">
              <wp:posOffset>4973320</wp:posOffset>
            </wp:positionH>
            <wp:positionV relativeFrom="margin">
              <wp:posOffset>5466715</wp:posOffset>
            </wp:positionV>
            <wp:extent cx="1810385" cy="1196975"/>
            <wp:effectExtent l="0" t="0" r="0" b="3175"/>
            <wp:wrapSquare wrapText="bothSides"/>
            <wp:docPr id="12" name="Obrázek 12" descr="I:\PR-Reality\Touax\Fotografie\Fiotec Brazílie\Výběr pro TZ\Fiotec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Touax\Fotografie\Fiotec Brazílie\Výběr pro TZ\Fiotec 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385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1A8">
        <w:t>Zájem o české moduly má nejen Evropa, ale i</w:t>
      </w:r>
      <w:r w:rsidR="005F1F58">
        <w:t xml:space="preserve"> exotičtější regiony:</w:t>
      </w:r>
      <w:r w:rsidR="00CC51A8">
        <w:t xml:space="preserve"> Afrika nebo Jižní Amerika.</w:t>
      </w:r>
      <w:r w:rsidR="005F1F58">
        <w:t xml:space="preserve"> Například v čadském hlavním městě </w:t>
      </w:r>
      <w:r w:rsidR="005F1F58" w:rsidRPr="00CD3F3E">
        <w:t>N'Djamena</w:t>
      </w:r>
      <w:r w:rsidR="005F1F58">
        <w:t xml:space="preserve"> vznikla z modulů Touaxu budova pro nevojenský personál francouz</w:t>
      </w:r>
      <w:r w:rsidR="00CC33D5">
        <w:t>ské armády. V brazilském Rio de </w:t>
      </w:r>
      <w:r w:rsidR="005F1F58">
        <w:t xml:space="preserve">Janeiru vyrostla administrativní budova, která slouží jako centrála soukromé neziskové nadace Fiotec. Ta </w:t>
      </w:r>
      <w:r w:rsidR="005F1F58" w:rsidRPr="00970665">
        <w:rPr>
          <w:lang w:eastAsia="cs-CZ"/>
        </w:rPr>
        <w:t xml:space="preserve">poskytuje finanční a administrativní služby </w:t>
      </w:r>
      <w:r w:rsidR="005F1F58">
        <w:rPr>
          <w:lang w:eastAsia="cs-CZ"/>
        </w:rPr>
        <w:t xml:space="preserve">nadaci Fiocruz, </w:t>
      </w:r>
      <w:r w:rsidR="005F1F58" w:rsidRPr="00970665">
        <w:rPr>
          <w:lang w:eastAsia="cs-CZ"/>
        </w:rPr>
        <w:t>jedné z nejrespektovanějších institucí pro vědu a</w:t>
      </w:r>
      <w:r w:rsidR="005F1F58">
        <w:rPr>
          <w:lang w:eastAsia="cs-CZ"/>
        </w:rPr>
        <w:t> </w:t>
      </w:r>
      <w:r w:rsidR="005F1F58" w:rsidRPr="00970665">
        <w:rPr>
          <w:lang w:eastAsia="cs-CZ"/>
        </w:rPr>
        <w:t xml:space="preserve">technologii v brazilském </w:t>
      </w:r>
      <w:r w:rsidR="005F1F58">
        <w:rPr>
          <w:lang w:eastAsia="cs-CZ"/>
        </w:rPr>
        <w:t xml:space="preserve">zdravotnictví. </w:t>
      </w:r>
      <w:r w:rsidR="005F1F58">
        <w:t xml:space="preserve">Celkem 214 modulů potřebných pro výstavbu do Brazílie doplulo </w:t>
      </w:r>
      <w:r w:rsidR="005F1F58" w:rsidRPr="00623858">
        <w:t xml:space="preserve">ve 36 kontejnerech na </w:t>
      </w:r>
      <w:r w:rsidR="005F1F58">
        <w:t xml:space="preserve">pěti </w:t>
      </w:r>
      <w:r w:rsidR="005F1F58" w:rsidRPr="00623858">
        <w:t>různých lodích.</w:t>
      </w:r>
      <w:r w:rsidR="005F1F58">
        <w:t xml:space="preserve"> To byla také dosud nejdelší cesta, kterou moduly od Touaxu z výrobního závodu v Supíkovicích urazily. Nakládce modulů na námořní lodě předcházela přeprava z ČR na kamiónech do přístavu v německém Hamburku.</w:t>
      </w:r>
    </w:p>
    <w:p w14:paraId="42F441C5" w14:textId="77777777" w:rsidR="00E52CB4" w:rsidRDefault="00E52CB4" w:rsidP="00F7704C">
      <w:pPr>
        <w:spacing w:line="320" w:lineRule="atLeast"/>
        <w:jc w:val="both"/>
        <w:rPr>
          <w:b/>
        </w:rPr>
      </w:pPr>
    </w:p>
    <w:p w14:paraId="09A5CD99" w14:textId="484EA83F" w:rsidR="00F7704C" w:rsidRDefault="00C67780" w:rsidP="00F7704C">
      <w:pPr>
        <w:spacing w:line="320" w:lineRule="atLeast"/>
        <w:jc w:val="both"/>
        <w:rPr>
          <w:b/>
        </w:rPr>
      </w:pPr>
      <w:r w:rsidRPr="00C67780">
        <w:rPr>
          <w:b/>
        </w:rPr>
        <w:t>Naložit, přepravit</w:t>
      </w:r>
      <w:r>
        <w:rPr>
          <w:b/>
        </w:rPr>
        <w:t xml:space="preserve"> </w:t>
      </w:r>
      <w:r w:rsidR="000B71A4">
        <w:rPr>
          <w:b/>
        </w:rPr>
        <w:t>na místo –</w:t>
      </w:r>
      <w:r>
        <w:rPr>
          <w:b/>
        </w:rPr>
        <w:t xml:space="preserve"> </w:t>
      </w:r>
      <w:r w:rsidR="000B71A4">
        <w:rPr>
          <w:b/>
        </w:rPr>
        <w:t>a během pár hodin je modulová budova v provozu</w:t>
      </w:r>
    </w:p>
    <w:p w14:paraId="3DDAA6F8" w14:textId="5256AE72" w:rsidR="000B71A4" w:rsidRPr="000F7801" w:rsidRDefault="00072278" w:rsidP="00F7704C">
      <w:pPr>
        <w:spacing w:line="320" w:lineRule="atLeast"/>
        <w:jc w:val="both"/>
      </w:pPr>
      <w:r>
        <w:rPr>
          <w:i/>
          <w:noProof/>
          <w:color w:val="FF0000"/>
          <w:sz w:val="18"/>
          <w:szCs w:val="18"/>
          <w:lang w:eastAsia="cs-CZ"/>
        </w:rPr>
        <w:drawing>
          <wp:anchor distT="0" distB="0" distL="114300" distR="114300" simplePos="0" relativeHeight="251672576" behindDoc="1" locked="0" layoutInCell="1" allowOverlap="1" wp14:anchorId="29EBE015" wp14:editId="4A80E0BA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213360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407" y="21280"/>
                <wp:lineTo x="21407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ouax-Festival-shop-MFF-KV-2015-0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71A4">
        <w:t>Modulová technologie je natolik rychlá a flexibilní, že v případech, kdy objekt tvoří jeden modul a Touax jej dodává na klíč i s vybavením, počítá se celková doba realizace na hodiny</w:t>
      </w:r>
      <w:r w:rsidR="00707507">
        <w:t>, neboť odpadají montážn</w:t>
      </w:r>
      <w:r w:rsidR="00CC33D5">
        <w:t>í práce spojené se sestavením a </w:t>
      </w:r>
      <w:r w:rsidR="00707507">
        <w:t>dokončením objektu</w:t>
      </w:r>
      <w:r w:rsidR="000B71A4">
        <w:t xml:space="preserve">. </w:t>
      </w:r>
      <w:r w:rsidR="000B71A4">
        <w:rPr>
          <w:i/>
        </w:rPr>
        <w:t xml:space="preserve">„Jako příklad můžeme </w:t>
      </w:r>
      <w:r w:rsidR="003F0CE7">
        <w:rPr>
          <w:i/>
        </w:rPr>
        <w:t xml:space="preserve">uvést vrátnice pro trvalé využívání, či moduly do krátkodobého pronájmu. Reprezentativní </w:t>
      </w:r>
      <w:r>
        <w:rPr>
          <w:i/>
        </w:rPr>
        <w:t xml:space="preserve">designový </w:t>
      </w:r>
      <w:r w:rsidR="003F0CE7">
        <w:rPr>
          <w:i/>
        </w:rPr>
        <w:t>modul, sloužící jako festivalová prodejna</w:t>
      </w:r>
      <w:r w:rsidR="00707507">
        <w:rPr>
          <w:i/>
        </w:rPr>
        <w:t xml:space="preserve"> Mezinárodního filmového festivalu Karlovy Vary</w:t>
      </w:r>
      <w:r w:rsidR="00CC33D5">
        <w:rPr>
          <w:i/>
        </w:rPr>
        <w:t>, jsme po </w:t>
      </w:r>
      <w:r w:rsidR="003F0CE7">
        <w:rPr>
          <w:i/>
        </w:rPr>
        <w:t xml:space="preserve">dodání na místo určení pouze připojili na elektřinu, </w:t>
      </w:r>
      <w:r w:rsidR="00707507">
        <w:rPr>
          <w:i/>
        </w:rPr>
        <w:t>organizátoři</w:t>
      </w:r>
      <w:r w:rsidR="003F0CE7">
        <w:rPr>
          <w:i/>
        </w:rPr>
        <w:t xml:space="preserve"> jej vybavil</w:t>
      </w:r>
      <w:r w:rsidR="00707507">
        <w:rPr>
          <w:i/>
        </w:rPr>
        <w:t>i</w:t>
      </w:r>
      <w:r w:rsidR="003F0CE7">
        <w:rPr>
          <w:i/>
        </w:rPr>
        <w:t xml:space="preserve"> zbožím </w:t>
      </w:r>
      <w:r w:rsidR="003F0CE7">
        <w:rPr>
          <w:i/>
        </w:rPr>
        <w:lastRenderedPageBreak/>
        <w:t>a mohl</w:t>
      </w:r>
      <w:r w:rsidR="00707507">
        <w:rPr>
          <w:i/>
        </w:rPr>
        <w:t>i</w:t>
      </w:r>
      <w:r w:rsidR="003F0CE7">
        <w:rPr>
          <w:i/>
        </w:rPr>
        <w:t xml:space="preserve"> prodejnu hn</w:t>
      </w:r>
      <w:r w:rsidR="000F7801">
        <w:rPr>
          <w:i/>
        </w:rPr>
        <w:t xml:space="preserve">ed otevřít. To vše trvalo </w:t>
      </w:r>
      <w:r w:rsidR="003F0CE7">
        <w:rPr>
          <w:i/>
        </w:rPr>
        <w:t>několik hodin. S</w:t>
      </w:r>
      <w:r w:rsidR="000F7801">
        <w:rPr>
          <w:i/>
        </w:rPr>
        <w:t> </w:t>
      </w:r>
      <w:r w:rsidR="003F0CE7">
        <w:rPr>
          <w:i/>
        </w:rPr>
        <w:t>nakládkou</w:t>
      </w:r>
      <w:r w:rsidR="000F7801">
        <w:rPr>
          <w:i/>
        </w:rPr>
        <w:t xml:space="preserve"> modulu </w:t>
      </w:r>
      <w:r w:rsidR="00ED5094">
        <w:rPr>
          <w:i/>
        </w:rPr>
        <w:t>na depu v Praze</w:t>
      </w:r>
      <w:r w:rsidR="003F0CE7">
        <w:rPr>
          <w:i/>
        </w:rPr>
        <w:t xml:space="preserve">, přepravou, vykládkou a vybavením </w:t>
      </w:r>
      <w:r w:rsidR="000F7801">
        <w:rPr>
          <w:i/>
        </w:rPr>
        <w:t xml:space="preserve">prodejny zbožím </w:t>
      </w:r>
      <w:r w:rsidR="00707507">
        <w:rPr>
          <w:i/>
        </w:rPr>
        <w:t>netrvala</w:t>
      </w:r>
      <w:r w:rsidR="000F7801">
        <w:rPr>
          <w:i/>
        </w:rPr>
        <w:t xml:space="preserve"> c</w:t>
      </w:r>
      <w:r w:rsidR="003F0CE7">
        <w:rPr>
          <w:i/>
        </w:rPr>
        <w:t xml:space="preserve">elková doba </w:t>
      </w:r>
      <w:r w:rsidR="000F7801" w:rsidRPr="000F7801">
        <w:rPr>
          <w:i/>
        </w:rPr>
        <w:t>realizace</w:t>
      </w:r>
      <w:r w:rsidR="000F7801">
        <w:rPr>
          <w:i/>
          <w:color w:val="FF0000"/>
        </w:rPr>
        <w:t xml:space="preserve"> </w:t>
      </w:r>
      <w:r w:rsidR="00CC33D5" w:rsidRPr="00AD22FA">
        <w:rPr>
          <w:i/>
        </w:rPr>
        <w:t>ani</w:t>
      </w:r>
      <w:r w:rsidR="000F7801" w:rsidRPr="00AD22FA">
        <w:rPr>
          <w:i/>
        </w:rPr>
        <w:t xml:space="preserve"> </w:t>
      </w:r>
      <w:r w:rsidR="00707507" w:rsidRPr="00AD22FA">
        <w:rPr>
          <w:i/>
        </w:rPr>
        <w:t>24 hodin</w:t>
      </w:r>
      <w:r w:rsidR="000F7801">
        <w:rPr>
          <w:i/>
        </w:rPr>
        <w:t xml:space="preserve">,“ </w:t>
      </w:r>
      <w:r w:rsidR="000F7801">
        <w:t>uzavírá Jan Petr.</w:t>
      </w:r>
    </w:p>
    <w:p w14:paraId="65DBBD5A" w14:textId="77777777" w:rsidR="000B71A4" w:rsidRPr="00C67780" w:rsidRDefault="000B71A4" w:rsidP="00F7704C">
      <w:pPr>
        <w:spacing w:line="320" w:lineRule="atLeast"/>
        <w:jc w:val="both"/>
        <w:rPr>
          <w:b/>
        </w:rPr>
      </w:pPr>
    </w:p>
    <w:p w14:paraId="5B2C5A67" w14:textId="77777777" w:rsidR="00F7704C" w:rsidRDefault="00F7704C" w:rsidP="00B71BDC">
      <w:pPr>
        <w:spacing w:line="320" w:lineRule="atLeast"/>
        <w:jc w:val="both"/>
      </w:pPr>
    </w:p>
    <w:p w14:paraId="15FFF691" w14:textId="77777777" w:rsidR="00E52CB4" w:rsidRPr="00763369" w:rsidRDefault="00E52CB4" w:rsidP="00E52CB4">
      <w:pPr>
        <w:spacing w:line="360" w:lineRule="auto"/>
        <w:ind w:left="360" w:right="279"/>
        <w:jc w:val="both"/>
        <w:outlineLvl w:val="0"/>
      </w:pPr>
      <w:r>
        <w:t>*</w:t>
      </w:r>
      <w:r w:rsidRPr="00BB3E78">
        <w:t xml:space="preserve">** </w:t>
      </w:r>
    </w:p>
    <w:p w14:paraId="17A2E0C3" w14:textId="77777777" w:rsidR="00E52CB4" w:rsidRDefault="00E52CB4" w:rsidP="00E52CB4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  <w:r>
        <w:rPr>
          <w:b/>
          <w:sz w:val="18"/>
          <w:szCs w:val="18"/>
        </w:rPr>
        <w:t>Touax</w:t>
      </w:r>
      <w:r w:rsidRPr="00173FF5">
        <w:rPr>
          <w:b/>
          <w:sz w:val="18"/>
          <w:szCs w:val="18"/>
        </w:rPr>
        <w:t xml:space="preserve"> s.r.o.</w:t>
      </w:r>
      <w:r>
        <w:rPr>
          <w:sz w:val="18"/>
          <w:szCs w:val="18"/>
        </w:rPr>
        <w:t xml:space="preserve"> je </w:t>
      </w:r>
      <w:r w:rsidRPr="008132A0">
        <w:rPr>
          <w:sz w:val="18"/>
          <w:szCs w:val="18"/>
        </w:rPr>
        <w:t>dceř</w:t>
      </w:r>
      <w:r>
        <w:rPr>
          <w:sz w:val="18"/>
          <w:szCs w:val="18"/>
        </w:rPr>
        <w:t>inou společností Divize modulových staveb francouzské skupiny Touax</w:t>
      </w:r>
      <w:r w:rsidRPr="008132A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která patří mezi přední evropské firmy na </w:t>
      </w:r>
      <w:r w:rsidRPr="008132A0">
        <w:rPr>
          <w:sz w:val="18"/>
          <w:szCs w:val="18"/>
        </w:rPr>
        <w:t xml:space="preserve">trhu </w:t>
      </w:r>
      <w:r>
        <w:rPr>
          <w:sz w:val="18"/>
          <w:szCs w:val="18"/>
        </w:rPr>
        <w:t xml:space="preserve">modulových staveb. Specializuje se </w:t>
      </w:r>
      <w:r w:rsidRPr="008132A0">
        <w:rPr>
          <w:sz w:val="18"/>
          <w:szCs w:val="18"/>
        </w:rPr>
        <w:t xml:space="preserve">na </w:t>
      </w:r>
      <w:r>
        <w:rPr>
          <w:sz w:val="18"/>
          <w:szCs w:val="18"/>
        </w:rPr>
        <w:t xml:space="preserve">projektování, průmyslovou výrobu a </w:t>
      </w:r>
      <w:r w:rsidRPr="008132A0">
        <w:rPr>
          <w:sz w:val="18"/>
          <w:szCs w:val="18"/>
        </w:rPr>
        <w:t xml:space="preserve">stavbu </w:t>
      </w:r>
      <w:r>
        <w:rPr>
          <w:sz w:val="18"/>
          <w:szCs w:val="18"/>
        </w:rPr>
        <w:t xml:space="preserve">dočasných nebo trvalých </w:t>
      </w:r>
      <w:r w:rsidRPr="008132A0">
        <w:rPr>
          <w:sz w:val="18"/>
          <w:szCs w:val="18"/>
        </w:rPr>
        <w:t>objektů stav</w:t>
      </w:r>
      <w:r>
        <w:rPr>
          <w:sz w:val="18"/>
          <w:szCs w:val="18"/>
        </w:rPr>
        <w:t xml:space="preserve">ebnicovým systémem modulů. </w:t>
      </w:r>
      <w:r w:rsidRPr="00750CDB">
        <w:rPr>
          <w:sz w:val="18"/>
          <w:szCs w:val="18"/>
        </w:rPr>
        <w:t xml:space="preserve">V České republice má v Supíkovicích </w:t>
      </w:r>
      <w:r>
        <w:rPr>
          <w:sz w:val="18"/>
          <w:szCs w:val="18"/>
        </w:rPr>
        <w:t>hlavní výrobní závod a vývojové oddělení pro celou divizi</w:t>
      </w:r>
      <w:r w:rsidRPr="00750CDB">
        <w:rPr>
          <w:sz w:val="18"/>
          <w:szCs w:val="18"/>
        </w:rPr>
        <w:t xml:space="preserve">. </w:t>
      </w:r>
      <w:r>
        <w:rPr>
          <w:sz w:val="18"/>
          <w:szCs w:val="18"/>
        </w:rPr>
        <w:t xml:space="preserve">V tuzemsku působí již od roku </w:t>
      </w:r>
      <w:smartTag w:uri="urn:schemas-microsoft-com:office:smarttags" w:element="metricconverter">
        <w:smartTagPr>
          <w:attr w:name="ProductID" w:val="1991 a"/>
        </w:smartTagPr>
        <w:r>
          <w:rPr>
            <w:sz w:val="18"/>
            <w:szCs w:val="18"/>
          </w:rPr>
          <w:t>1991 a</w:t>
        </w:r>
      </w:smartTag>
      <w:r>
        <w:rPr>
          <w:sz w:val="18"/>
          <w:szCs w:val="18"/>
        </w:rPr>
        <w:t xml:space="preserve"> těží z</w:t>
      </w:r>
      <w:r w:rsidRPr="009340C0">
        <w:rPr>
          <w:sz w:val="18"/>
          <w:szCs w:val="18"/>
        </w:rPr>
        <w:t xml:space="preserve"> </w:t>
      </w:r>
      <w:r>
        <w:rPr>
          <w:sz w:val="18"/>
          <w:szCs w:val="18"/>
        </w:rPr>
        <w:t>více než čtyřicetileté zkušenosti</w:t>
      </w:r>
      <w:r w:rsidRPr="008132A0">
        <w:rPr>
          <w:sz w:val="18"/>
          <w:szCs w:val="18"/>
        </w:rPr>
        <w:t xml:space="preserve"> </w:t>
      </w:r>
      <w:r>
        <w:rPr>
          <w:sz w:val="18"/>
          <w:szCs w:val="18"/>
        </w:rPr>
        <w:t>celé skupiny Touax, zejména z modulových trhů Evropské unie.</w:t>
      </w:r>
    </w:p>
    <w:p w14:paraId="5E955947" w14:textId="77777777" w:rsidR="00E52CB4" w:rsidRDefault="00E52CB4" w:rsidP="00E52CB4">
      <w:pPr>
        <w:spacing w:line="360" w:lineRule="auto"/>
        <w:ind w:left="360" w:right="279"/>
        <w:jc w:val="both"/>
        <w:outlineLvl w:val="0"/>
        <w:rPr>
          <w:sz w:val="18"/>
          <w:szCs w:val="18"/>
        </w:rPr>
      </w:pPr>
    </w:p>
    <w:p w14:paraId="228EDABA" w14:textId="77777777" w:rsidR="00E52CB4" w:rsidRPr="0003266D" w:rsidRDefault="00E52CB4" w:rsidP="00E52CB4">
      <w:pPr>
        <w:pStyle w:val="Normlnweb"/>
        <w:spacing w:before="0" w:beforeAutospacing="0" w:after="0" w:afterAutospacing="0" w:line="360" w:lineRule="auto"/>
        <w:ind w:left="357" w:right="284"/>
        <w:jc w:val="both"/>
        <w:rPr>
          <w:rFonts w:ascii="Arial" w:hAnsi="Arial" w:cs="Arial"/>
          <w:sz w:val="18"/>
          <w:szCs w:val="18"/>
        </w:rPr>
      </w:pPr>
      <w:r w:rsidRPr="0003266D">
        <w:rPr>
          <w:rFonts w:ascii="Arial" w:hAnsi="Arial" w:cs="Arial"/>
          <w:sz w:val="18"/>
          <w:szCs w:val="18"/>
        </w:rPr>
        <w:t xml:space="preserve">Skupina </w:t>
      </w:r>
      <w:r w:rsidRPr="0003266D">
        <w:rPr>
          <w:rFonts w:ascii="Arial" w:hAnsi="Arial" w:cs="Arial"/>
          <w:b/>
          <w:sz w:val="18"/>
          <w:szCs w:val="18"/>
        </w:rPr>
        <w:t>Touax</w:t>
      </w:r>
      <w:r w:rsidRPr="0003266D">
        <w:rPr>
          <w:rFonts w:ascii="Arial" w:hAnsi="Arial" w:cs="Arial"/>
          <w:sz w:val="18"/>
          <w:szCs w:val="18"/>
        </w:rPr>
        <w:t xml:space="preserve">, která byla založena již za Napoleona III. v roce 1853, se specializuje na operativní leasing a prodej námořních kontejnerů, nákladních železničních vagónů, nákladních říčních člunů a modulových objektů. Denně </w:t>
      </w:r>
      <w:r w:rsidRPr="005315B1">
        <w:rPr>
          <w:rFonts w:ascii="Arial" w:hAnsi="Arial" w:cs="Arial"/>
          <w:sz w:val="18"/>
          <w:szCs w:val="18"/>
        </w:rPr>
        <w:t>pronajímá tato hmotná aktiva více než 5000 zákazníků</w:t>
      </w:r>
      <w:r>
        <w:rPr>
          <w:rFonts w:ascii="Arial" w:hAnsi="Arial" w:cs="Arial"/>
          <w:sz w:val="18"/>
          <w:szCs w:val="18"/>
        </w:rPr>
        <w:t>m</w:t>
      </w:r>
      <w:r w:rsidRPr="005315B1">
        <w:rPr>
          <w:rFonts w:ascii="Arial" w:hAnsi="Arial" w:cs="Arial"/>
          <w:sz w:val="18"/>
          <w:szCs w:val="18"/>
        </w:rPr>
        <w:t xml:space="preserve"> po celém světě, a to jak na vlastní účet, tak z pověření investorů. Správa aktiv v hodnotě více než 2 miliardy dolarů řadí skupinu TOUAX mezi vůdčí evropské společnosti na daném trhu.</w:t>
      </w:r>
    </w:p>
    <w:p w14:paraId="5D69D48E" w14:textId="77777777" w:rsidR="00E52CB4" w:rsidRPr="005315B1" w:rsidRDefault="00E52CB4" w:rsidP="00E52CB4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5315B1">
        <w:rPr>
          <w:sz w:val="18"/>
          <w:szCs w:val="18"/>
        </w:rPr>
        <w:t>Společnost Touax je</w:t>
      </w:r>
      <w:r w:rsidRPr="005315B1">
        <w:rPr>
          <w:b/>
          <w:sz w:val="18"/>
          <w:szCs w:val="18"/>
        </w:rPr>
        <w:t xml:space="preserve"> </w:t>
      </w:r>
      <w:r w:rsidRPr="005315B1">
        <w:rPr>
          <w:iCs/>
          <w:sz w:val="18"/>
          <w:szCs w:val="18"/>
        </w:rPr>
        <w:t>kótovaná na pařížské burze NYSE EURONEXT – Euronext Paris Compartment C (kód ISIN FR0000033003) a je součástí indexů CAC® Small a CAC® Mid &amp; Small a SRD Long-only.</w:t>
      </w:r>
    </w:p>
    <w:p w14:paraId="04A18418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43554FEE" w14:textId="77777777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b/>
          <w:sz w:val="18"/>
          <w:szCs w:val="18"/>
        </w:rPr>
        <w:t>Kontaktní osob</w:t>
      </w:r>
      <w:r>
        <w:rPr>
          <w:b/>
          <w:sz w:val="18"/>
          <w:szCs w:val="18"/>
        </w:rPr>
        <w:t>y</w:t>
      </w:r>
      <w:r w:rsidRPr="00763369">
        <w:rPr>
          <w:sz w:val="18"/>
          <w:szCs w:val="18"/>
        </w:rPr>
        <w:t>:</w:t>
      </w:r>
    </w:p>
    <w:p w14:paraId="3AE834AE" w14:textId="77777777" w:rsidR="0085317B" w:rsidRPr="00750CDB" w:rsidRDefault="0085317B" w:rsidP="0085317B">
      <w:pPr>
        <w:spacing w:line="360" w:lineRule="auto"/>
        <w:ind w:left="357" w:right="278"/>
        <w:jc w:val="both"/>
        <w:outlineLvl w:val="0"/>
        <w:rPr>
          <w:b/>
          <w:sz w:val="18"/>
          <w:szCs w:val="18"/>
        </w:rPr>
      </w:pPr>
      <w:r w:rsidRPr="00750CDB">
        <w:rPr>
          <w:b/>
          <w:sz w:val="18"/>
          <w:szCs w:val="18"/>
        </w:rPr>
        <w:t>Touax s.r.o.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Crest Communications a.s.</w:t>
      </w:r>
    </w:p>
    <w:p w14:paraId="7939BB2B" w14:textId="35AB140A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Jan Petr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E52CB4">
        <w:rPr>
          <w:sz w:val="18"/>
          <w:szCs w:val="18"/>
        </w:rPr>
        <w:t>Marcela Kukaň</w:t>
      </w:r>
      <w:r w:rsidR="005E0531">
        <w:rPr>
          <w:sz w:val="18"/>
          <w:szCs w:val="18"/>
        </w:rPr>
        <w:t>ová</w:t>
      </w:r>
    </w:p>
    <w:p w14:paraId="36CE5729" w14:textId="5E2B105F" w:rsidR="0085317B" w:rsidRPr="00763369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>Tel: +420 724 214</w:t>
      </w:r>
      <w:r>
        <w:rPr>
          <w:sz w:val="18"/>
          <w:szCs w:val="18"/>
        </w:rPr>
        <w:t> </w:t>
      </w:r>
      <w:r w:rsidRPr="00763369">
        <w:rPr>
          <w:sz w:val="18"/>
          <w:szCs w:val="18"/>
        </w:rPr>
        <w:t>347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63369">
        <w:rPr>
          <w:sz w:val="18"/>
          <w:szCs w:val="18"/>
        </w:rPr>
        <w:t>Tel: +420</w:t>
      </w:r>
      <w:r w:rsidR="00E52CB4">
        <w:rPr>
          <w:sz w:val="18"/>
          <w:szCs w:val="18"/>
        </w:rPr>
        <w:t> 731 613 618</w:t>
      </w:r>
    </w:p>
    <w:p w14:paraId="24F28129" w14:textId="4D8E02EC" w:rsidR="0085317B" w:rsidRDefault="0085317B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  <w:r w:rsidRPr="00763369">
        <w:rPr>
          <w:sz w:val="18"/>
          <w:szCs w:val="18"/>
        </w:rPr>
        <w:t xml:space="preserve">E-mail: </w:t>
      </w:r>
      <w:hyperlink r:id="rId22" w:history="1">
        <w:r w:rsidRPr="00763369">
          <w:rPr>
            <w:rStyle w:val="Hypertextovodkaz"/>
            <w:sz w:val="18"/>
            <w:szCs w:val="18"/>
          </w:rPr>
          <w:t>jan.petr@touax.cz</w:t>
        </w:r>
      </w:hyperlink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50CDB">
        <w:rPr>
          <w:rStyle w:val="Hypertextovodkaz"/>
          <w:sz w:val="18"/>
          <w:szCs w:val="18"/>
          <w:u w:val="none"/>
        </w:rPr>
        <w:tab/>
      </w:r>
      <w:r w:rsidRPr="00763369">
        <w:rPr>
          <w:sz w:val="18"/>
          <w:szCs w:val="18"/>
        </w:rPr>
        <w:t>E-mail</w:t>
      </w:r>
      <w:r>
        <w:rPr>
          <w:sz w:val="18"/>
          <w:szCs w:val="18"/>
        </w:rPr>
        <w:t>:</w:t>
      </w:r>
      <w:r w:rsidR="005E0531">
        <w:rPr>
          <w:sz w:val="18"/>
          <w:szCs w:val="18"/>
        </w:rPr>
        <w:t xml:space="preserve"> </w:t>
      </w:r>
      <w:hyperlink r:id="rId23" w:history="1">
        <w:r w:rsidR="00E52CB4" w:rsidRPr="00570DC0">
          <w:rPr>
            <w:rStyle w:val="Hypertextovodkaz"/>
          </w:rPr>
          <w:t>marcel</w:t>
        </w:r>
        <w:r w:rsidR="00E52CB4" w:rsidRPr="00570DC0">
          <w:rPr>
            <w:rStyle w:val="Hypertextovodkaz"/>
            <w:sz w:val="18"/>
            <w:szCs w:val="18"/>
          </w:rPr>
          <w:t>a.kukanova@crestcom.cz</w:t>
        </w:r>
      </w:hyperlink>
    </w:p>
    <w:p w14:paraId="1FD8343A" w14:textId="77777777" w:rsidR="00E52CB4" w:rsidRDefault="00E52CB4" w:rsidP="0085317B">
      <w:pPr>
        <w:spacing w:line="360" w:lineRule="auto"/>
        <w:ind w:left="357" w:right="278"/>
        <w:jc w:val="both"/>
        <w:outlineLvl w:val="0"/>
        <w:rPr>
          <w:sz w:val="18"/>
          <w:szCs w:val="18"/>
        </w:rPr>
      </w:pPr>
    </w:p>
    <w:p w14:paraId="0651BD64" w14:textId="77777777" w:rsidR="005223A3" w:rsidRPr="001B7CBE" w:rsidRDefault="005223A3" w:rsidP="00F03D42"/>
    <w:sectPr w:rsidR="005223A3" w:rsidRPr="001B7CBE" w:rsidSect="000D67AA">
      <w:headerReference w:type="default" r:id="rId24"/>
      <w:footerReference w:type="default" r:id="rId25"/>
      <w:pgSz w:w="11906" w:h="16838"/>
      <w:pgMar w:top="1696" w:right="566" w:bottom="1417" w:left="56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E2199D" w14:textId="77777777" w:rsidR="00A75033" w:rsidRDefault="00A75033" w:rsidP="00EE3EA8">
      <w:r>
        <w:separator/>
      </w:r>
    </w:p>
  </w:endnote>
  <w:endnote w:type="continuationSeparator" w:id="0">
    <w:p w14:paraId="64F034EA" w14:textId="77777777" w:rsidR="00A75033" w:rsidRDefault="00A75033" w:rsidP="00EE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BFAB5" w14:textId="77777777" w:rsidR="00B05F51" w:rsidRPr="000D67AA" w:rsidRDefault="00E92FD1" w:rsidP="00EE3EA8">
    <w:pPr>
      <w:pStyle w:val="Zpat"/>
      <w:tabs>
        <w:tab w:val="clear" w:pos="9072"/>
        <w:tab w:val="right" w:pos="9540"/>
      </w:tabs>
      <w:spacing w:after="20"/>
      <w:rPr>
        <w:bCs/>
        <w:color w:val="002065"/>
        <w:sz w:val="16"/>
        <w:szCs w:val="16"/>
      </w:rPr>
    </w:pPr>
    <w:r>
      <w:rPr>
        <w:bCs/>
        <w:noProof/>
        <w:sz w:val="16"/>
        <w:szCs w:val="16"/>
        <w:lang w:eastAsia="cs-CZ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82B1357" wp14:editId="7791AE58">
              <wp:simplePos x="0" y="0"/>
              <wp:positionH relativeFrom="column">
                <wp:posOffset>-3175</wp:posOffset>
              </wp:positionH>
              <wp:positionV relativeFrom="paragraph">
                <wp:posOffset>-92711</wp:posOffset>
              </wp:positionV>
              <wp:extent cx="6840220" cy="0"/>
              <wp:effectExtent l="0" t="0" r="1778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C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66D469" id="Line 3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.25pt,-7.3pt" to="538.35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" strokecolor="#ffc000" strokeweight="1.5pt"/>
          </w:pict>
        </mc:Fallback>
      </mc:AlternateContent>
    </w:r>
    <w:r w:rsidR="00B05F51" w:rsidRPr="000D67AA">
      <w:rPr>
        <w:b/>
        <w:color w:val="002065"/>
        <w:sz w:val="16"/>
        <w:szCs w:val="16"/>
      </w:rPr>
      <w:t>Touax s.r.o.</w:t>
    </w:r>
  </w:p>
  <w:p w14:paraId="414DCE11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>Křižíkova 34, 186 00 Praha 8 – Karlín</w:t>
    </w:r>
  </w:p>
  <w:p w14:paraId="60E7339F" w14:textId="77777777" w:rsidR="00B05F51" w:rsidRPr="000D67AA" w:rsidRDefault="00B05F51" w:rsidP="00EE3EA8">
    <w:pPr>
      <w:pStyle w:val="Zpat"/>
      <w:tabs>
        <w:tab w:val="clear" w:pos="9072"/>
        <w:tab w:val="right" w:pos="9540"/>
      </w:tabs>
      <w:spacing w:after="20"/>
      <w:rPr>
        <w:color w:val="002065"/>
        <w:sz w:val="16"/>
        <w:szCs w:val="16"/>
      </w:rPr>
    </w:pPr>
    <w:r w:rsidRPr="000D67AA">
      <w:rPr>
        <w:color w:val="002065"/>
        <w:sz w:val="16"/>
        <w:szCs w:val="16"/>
      </w:rPr>
      <w:t xml:space="preserve">T: +420 234 712 211  -  F: +420 234 712 216  -  E: </w:t>
    </w:r>
    <w:hyperlink r:id="rId1" w:history="1">
      <w:r w:rsidRPr="000D67AA">
        <w:rPr>
          <w:rStyle w:val="Hypertextovodkaz"/>
          <w:sz w:val="16"/>
          <w:szCs w:val="16"/>
        </w:rPr>
        <w:t>info</w:t>
      </w:r>
      <w:r w:rsidRPr="00F7704C">
        <w:rPr>
          <w:rStyle w:val="Hypertextovodkaz"/>
          <w:sz w:val="16"/>
          <w:szCs w:val="16"/>
          <w:lang w:val="de-DE"/>
        </w:rPr>
        <w:t>@touax.cz</w:t>
      </w:r>
    </w:hyperlink>
    <w:r w:rsidRPr="00F7704C">
      <w:rPr>
        <w:color w:val="002065"/>
        <w:sz w:val="16"/>
        <w:szCs w:val="16"/>
        <w:lang w:val="de-DE"/>
      </w:rPr>
      <w:t xml:space="preserve">  -  W: </w:t>
    </w:r>
    <w:r w:rsidRPr="000D67AA">
      <w:rPr>
        <w:color w:val="002065"/>
        <w:sz w:val="16"/>
        <w:szCs w:val="16"/>
      </w:rPr>
      <w:t xml:space="preserve"> </w:t>
    </w:r>
    <w:hyperlink r:id="rId2" w:history="1">
      <w:r w:rsidRPr="000D67AA">
        <w:rPr>
          <w:rStyle w:val="Hypertextovodkaz"/>
          <w:sz w:val="16"/>
          <w:szCs w:val="16"/>
        </w:rPr>
        <w:t>www.touax.cz</w:t>
      </w:r>
    </w:hyperlink>
  </w:p>
  <w:p w14:paraId="20B4459D" w14:textId="77777777" w:rsidR="00B05F51" w:rsidRDefault="00B05F51" w:rsidP="00EE3EA8">
    <w:pPr>
      <w:pStyle w:val="Zpat"/>
      <w:tabs>
        <w:tab w:val="clear" w:pos="9072"/>
        <w:tab w:val="right" w:pos="9540"/>
      </w:tabs>
      <w:spacing w:after="20"/>
    </w:pPr>
    <w:r>
      <w:rPr>
        <w:color w:val="002065"/>
        <w:sz w:val="14"/>
        <w:szCs w:val="14"/>
      </w:rPr>
      <w:t>IČ: 28160916 - DIČ: CZ 28160</w:t>
    </w:r>
    <w:r w:rsidRPr="008B2E9F">
      <w:rPr>
        <w:color w:val="002065"/>
        <w:sz w:val="14"/>
        <w:szCs w:val="14"/>
      </w:rPr>
      <w:t xml:space="preserve">916 </w:t>
    </w:r>
    <w:r>
      <w:rPr>
        <w:color w:val="002065"/>
        <w:sz w:val="14"/>
        <w:szCs w:val="14"/>
      </w:rPr>
      <w:t>- Reg. MS Praha - Obch. rejstřík</w:t>
    </w:r>
    <w:r w:rsidRPr="008B2E9F">
      <w:rPr>
        <w:color w:val="002065"/>
        <w:sz w:val="14"/>
        <w:szCs w:val="14"/>
      </w:rPr>
      <w:t>, C/129604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AED5AF" w14:textId="77777777" w:rsidR="00A75033" w:rsidRDefault="00A75033" w:rsidP="00EE3EA8">
      <w:r>
        <w:separator/>
      </w:r>
    </w:p>
  </w:footnote>
  <w:footnote w:type="continuationSeparator" w:id="0">
    <w:p w14:paraId="681E0EF5" w14:textId="77777777" w:rsidR="00A75033" w:rsidRDefault="00A75033" w:rsidP="00EE3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12882" w14:textId="77777777" w:rsidR="00B05F51" w:rsidRPr="00DE5A79" w:rsidRDefault="00B05F51" w:rsidP="00DE5A79">
    <w:pPr>
      <w:pStyle w:val="Zhlav"/>
      <w:tabs>
        <w:tab w:val="clear" w:pos="9072"/>
        <w:tab w:val="right" w:pos="10773"/>
      </w:tabs>
      <w:rPr>
        <w:b/>
        <w:sz w:val="24"/>
        <w:szCs w:val="24"/>
      </w:rPr>
    </w:pPr>
    <w:r>
      <w:rPr>
        <w:noProof/>
        <w:color w:val="002065"/>
        <w:sz w:val="18"/>
        <w:szCs w:val="18"/>
        <w:lang w:eastAsia="cs-CZ"/>
      </w:rPr>
      <w:drawing>
        <wp:inline distT="0" distB="0" distL="0" distR="0" wp14:anchorId="4263B0A3" wp14:editId="057C2F31">
          <wp:extent cx="1930909" cy="360000"/>
          <wp:effectExtent l="0" t="0" r="0" b="2540"/>
          <wp:docPr id="109" name="Obrázek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UAX2011_ALONE hlav papi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0909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DE5A79">
      <w:rPr>
        <w:b/>
        <w:sz w:val="24"/>
        <w:szCs w:val="24"/>
      </w:rPr>
      <w:t>TISKOVÁ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F3BBE"/>
    <w:multiLevelType w:val="hybridMultilevel"/>
    <w:tmpl w:val="3FF0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A0F"/>
    <w:multiLevelType w:val="hybridMultilevel"/>
    <w:tmpl w:val="DA72D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F3D5D"/>
    <w:multiLevelType w:val="hybridMultilevel"/>
    <w:tmpl w:val="90F48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D003C"/>
    <w:multiLevelType w:val="hybridMultilevel"/>
    <w:tmpl w:val="3C5E47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3761"/>
    <w:multiLevelType w:val="hybridMultilevel"/>
    <w:tmpl w:val="C6287A06"/>
    <w:lvl w:ilvl="0" w:tplc="FDF07278">
      <w:start w:val="3"/>
      <w:numFmt w:val="bullet"/>
      <w:lvlText w:val=""/>
      <w:lvlJc w:val="left"/>
      <w:pPr>
        <w:ind w:left="1428" w:hanging="360"/>
      </w:pPr>
      <w:rPr>
        <w:rFonts w:ascii="Symbol" w:eastAsia="Calibri" w:hAnsi="Symbol" w:cs="Courier New" w:hint="default"/>
        <w:color w:val="1F497D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2F67E95"/>
    <w:multiLevelType w:val="hybridMultilevel"/>
    <w:tmpl w:val="D4987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7F7748"/>
    <w:multiLevelType w:val="hybridMultilevel"/>
    <w:tmpl w:val="B2A60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567A4C"/>
    <w:multiLevelType w:val="hybridMultilevel"/>
    <w:tmpl w:val="1FF8F61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77835"/>
    <w:multiLevelType w:val="hybridMultilevel"/>
    <w:tmpl w:val="A99075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3B0113"/>
    <w:multiLevelType w:val="hybridMultilevel"/>
    <w:tmpl w:val="3E40662C"/>
    <w:lvl w:ilvl="0" w:tplc="4D90E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54E81"/>
    <w:multiLevelType w:val="hybridMultilevel"/>
    <w:tmpl w:val="D5408F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2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C0"/>
    <w:rsid w:val="00004292"/>
    <w:rsid w:val="00004A93"/>
    <w:rsid w:val="00005274"/>
    <w:rsid w:val="00007EDE"/>
    <w:rsid w:val="00016B10"/>
    <w:rsid w:val="000239AC"/>
    <w:rsid w:val="00034162"/>
    <w:rsid w:val="00052500"/>
    <w:rsid w:val="00060D33"/>
    <w:rsid w:val="00061C60"/>
    <w:rsid w:val="00066250"/>
    <w:rsid w:val="00071741"/>
    <w:rsid w:val="00072278"/>
    <w:rsid w:val="000727B6"/>
    <w:rsid w:val="000779D3"/>
    <w:rsid w:val="0009435A"/>
    <w:rsid w:val="000946C4"/>
    <w:rsid w:val="000A67AD"/>
    <w:rsid w:val="000B71A4"/>
    <w:rsid w:val="000D1538"/>
    <w:rsid w:val="000D2761"/>
    <w:rsid w:val="000D382A"/>
    <w:rsid w:val="000D67AA"/>
    <w:rsid w:val="000F6B7F"/>
    <w:rsid w:val="000F7801"/>
    <w:rsid w:val="00100230"/>
    <w:rsid w:val="001066D2"/>
    <w:rsid w:val="00110DF7"/>
    <w:rsid w:val="00126CC8"/>
    <w:rsid w:val="001314FD"/>
    <w:rsid w:val="001443CD"/>
    <w:rsid w:val="001446DA"/>
    <w:rsid w:val="00145188"/>
    <w:rsid w:val="00156CC6"/>
    <w:rsid w:val="00164259"/>
    <w:rsid w:val="00166703"/>
    <w:rsid w:val="00166F14"/>
    <w:rsid w:val="00172DA2"/>
    <w:rsid w:val="0017549B"/>
    <w:rsid w:val="001754DD"/>
    <w:rsid w:val="00177267"/>
    <w:rsid w:val="0017731D"/>
    <w:rsid w:val="00181287"/>
    <w:rsid w:val="00187182"/>
    <w:rsid w:val="00191FF7"/>
    <w:rsid w:val="00194CC5"/>
    <w:rsid w:val="00196585"/>
    <w:rsid w:val="001A71C1"/>
    <w:rsid w:val="001B0DEA"/>
    <w:rsid w:val="001B5548"/>
    <w:rsid w:val="001B7CBE"/>
    <w:rsid w:val="001C0E8B"/>
    <w:rsid w:val="001C183E"/>
    <w:rsid w:val="001C332D"/>
    <w:rsid w:val="001C3B7C"/>
    <w:rsid w:val="001C3D1B"/>
    <w:rsid w:val="001D6C21"/>
    <w:rsid w:val="001F1689"/>
    <w:rsid w:val="00201FA7"/>
    <w:rsid w:val="0020756D"/>
    <w:rsid w:val="002128CA"/>
    <w:rsid w:val="00222044"/>
    <w:rsid w:val="0022695D"/>
    <w:rsid w:val="00232893"/>
    <w:rsid w:val="00247915"/>
    <w:rsid w:val="00256197"/>
    <w:rsid w:val="00265DCD"/>
    <w:rsid w:val="0027140C"/>
    <w:rsid w:val="002758E6"/>
    <w:rsid w:val="002951D4"/>
    <w:rsid w:val="002A1C7D"/>
    <w:rsid w:val="002A2084"/>
    <w:rsid w:val="002A37EC"/>
    <w:rsid w:val="002A763D"/>
    <w:rsid w:val="002B2520"/>
    <w:rsid w:val="002C346E"/>
    <w:rsid w:val="002C5732"/>
    <w:rsid w:val="002D16F4"/>
    <w:rsid w:val="002E2158"/>
    <w:rsid w:val="002E4900"/>
    <w:rsid w:val="002E7FE3"/>
    <w:rsid w:val="002F054C"/>
    <w:rsid w:val="002F102F"/>
    <w:rsid w:val="002F1919"/>
    <w:rsid w:val="002F6FD3"/>
    <w:rsid w:val="003103B6"/>
    <w:rsid w:val="00314316"/>
    <w:rsid w:val="00314EF8"/>
    <w:rsid w:val="003270B4"/>
    <w:rsid w:val="00342DAA"/>
    <w:rsid w:val="00350735"/>
    <w:rsid w:val="00356091"/>
    <w:rsid w:val="0036195C"/>
    <w:rsid w:val="00362743"/>
    <w:rsid w:val="003634F2"/>
    <w:rsid w:val="003714FA"/>
    <w:rsid w:val="003729B8"/>
    <w:rsid w:val="003757D9"/>
    <w:rsid w:val="00384178"/>
    <w:rsid w:val="003879D0"/>
    <w:rsid w:val="003D7935"/>
    <w:rsid w:val="003F0CE7"/>
    <w:rsid w:val="00421FB6"/>
    <w:rsid w:val="00427533"/>
    <w:rsid w:val="00432C1A"/>
    <w:rsid w:val="00433F74"/>
    <w:rsid w:val="004371A2"/>
    <w:rsid w:val="004404BD"/>
    <w:rsid w:val="004536BB"/>
    <w:rsid w:val="00457BDD"/>
    <w:rsid w:val="0047261D"/>
    <w:rsid w:val="00473C1B"/>
    <w:rsid w:val="00487423"/>
    <w:rsid w:val="004926BB"/>
    <w:rsid w:val="0049408E"/>
    <w:rsid w:val="00494DBB"/>
    <w:rsid w:val="00497816"/>
    <w:rsid w:val="004A4CB3"/>
    <w:rsid w:val="004B3705"/>
    <w:rsid w:val="004E4A9D"/>
    <w:rsid w:val="004F5D29"/>
    <w:rsid w:val="0050000B"/>
    <w:rsid w:val="00501106"/>
    <w:rsid w:val="00501A14"/>
    <w:rsid w:val="005042CE"/>
    <w:rsid w:val="00515C65"/>
    <w:rsid w:val="00516942"/>
    <w:rsid w:val="00517065"/>
    <w:rsid w:val="00521DD6"/>
    <w:rsid w:val="005223A3"/>
    <w:rsid w:val="00522590"/>
    <w:rsid w:val="00522EC2"/>
    <w:rsid w:val="00534222"/>
    <w:rsid w:val="005376C4"/>
    <w:rsid w:val="00537D3C"/>
    <w:rsid w:val="005515F6"/>
    <w:rsid w:val="00561153"/>
    <w:rsid w:val="005679A5"/>
    <w:rsid w:val="0057044A"/>
    <w:rsid w:val="005706E1"/>
    <w:rsid w:val="00572707"/>
    <w:rsid w:val="00572E73"/>
    <w:rsid w:val="0057607B"/>
    <w:rsid w:val="005A7199"/>
    <w:rsid w:val="005B0FE8"/>
    <w:rsid w:val="005B3F0A"/>
    <w:rsid w:val="005B77E1"/>
    <w:rsid w:val="005D19AB"/>
    <w:rsid w:val="005E0531"/>
    <w:rsid w:val="005E1207"/>
    <w:rsid w:val="005F0504"/>
    <w:rsid w:val="005F1F58"/>
    <w:rsid w:val="005F4497"/>
    <w:rsid w:val="005F703A"/>
    <w:rsid w:val="0060780B"/>
    <w:rsid w:val="00607B29"/>
    <w:rsid w:val="00610E17"/>
    <w:rsid w:val="0061718B"/>
    <w:rsid w:val="00627F69"/>
    <w:rsid w:val="006567F5"/>
    <w:rsid w:val="006660BF"/>
    <w:rsid w:val="00674F9A"/>
    <w:rsid w:val="00675A2D"/>
    <w:rsid w:val="00677BA6"/>
    <w:rsid w:val="00677D45"/>
    <w:rsid w:val="00680298"/>
    <w:rsid w:val="0068718D"/>
    <w:rsid w:val="00691040"/>
    <w:rsid w:val="006A1758"/>
    <w:rsid w:val="006A2D48"/>
    <w:rsid w:val="006A3E82"/>
    <w:rsid w:val="006B1652"/>
    <w:rsid w:val="006B35C4"/>
    <w:rsid w:val="006B7EC3"/>
    <w:rsid w:val="006C1FE2"/>
    <w:rsid w:val="006C3A87"/>
    <w:rsid w:val="006C7428"/>
    <w:rsid w:val="006D406A"/>
    <w:rsid w:val="006E31B9"/>
    <w:rsid w:val="006F33D5"/>
    <w:rsid w:val="006F43E7"/>
    <w:rsid w:val="0070155E"/>
    <w:rsid w:val="00705FF7"/>
    <w:rsid w:val="00707507"/>
    <w:rsid w:val="00711CB9"/>
    <w:rsid w:val="00716639"/>
    <w:rsid w:val="00730D23"/>
    <w:rsid w:val="00735A92"/>
    <w:rsid w:val="007366F8"/>
    <w:rsid w:val="00737DB8"/>
    <w:rsid w:val="00751712"/>
    <w:rsid w:val="007533CD"/>
    <w:rsid w:val="00760767"/>
    <w:rsid w:val="00767F66"/>
    <w:rsid w:val="007814FB"/>
    <w:rsid w:val="00786804"/>
    <w:rsid w:val="00791887"/>
    <w:rsid w:val="00794104"/>
    <w:rsid w:val="00797E6C"/>
    <w:rsid w:val="007A4C2B"/>
    <w:rsid w:val="007B3737"/>
    <w:rsid w:val="007B5DB5"/>
    <w:rsid w:val="007C1685"/>
    <w:rsid w:val="007C6585"/>
    <w:rsid w:val="007D354E"/>
    <w:rsid w:val="007E0DDC"/>
    <w:rsid w:val="007E2421"/>
    <w:rsid w:val="007E4689"/>
    <w:rsid w:val="007F08E6"/>
    <w:rsid w:val="007F453D"/>
    <w:rsid w:val="00801D07"/>
    <w:rsid w:val="00805713"/>
    <w:rsid w:val="0081143E"/>
    <w:rsid w:val="00821FC3"/>
    <w:rsid w:val="00822100"/>
    <w:rsid w:val="0082230A"/>
    <w:rsid w:val="00840396"/>
    <w:rsid w:val="00842FDC"/>
    <w:rsid w:val="0084444C"/>
    <w:rsid w:val="0085317B"/>
    <w:rsid w:val="00855197"/>
    <w:rsid w:val="008577E3"/>
    <w:rsid w:val="008723DC"/>
    <w:rsid w:val="00873ECF"/>
    <w:rsid w:val="00883AB4"/>
    <w:rsid w:val="008A7250"/>
    <w:rsid w:val="008B02CA"/>
    <w:rsid w:val="008B13BB"/>
    <w:rsid w:val="008B441E"/>
    <w:rsid w:val="008B508A"/>
    <w:rsid w:val="008B658A"/>
    <w:rsid w:val="008C2C86"/>
    <w:rsid w:val="008D0F78"/>
    <w:rsid w:val="008D49FD"/>
    <w:rsid w:val="008E02CB"/>
    <w:rsid w:val="008F0164"/>
    <w:rsid w:val="008F06B1"/>
    <w:rsid w:val="009115B0"/>
    <w:rsid w:val="00912D77"/>
    <w:rsid w:val="0091313F"/>
    <w:rsid w:val="00936E41"/>
    <w:rsid w:val="00940965"/>
    <w:rsid w:val="00940E7A"/>
    <w:rsid w:val="009460EB"/>
    <w:rsid w:val="009479C2"/>
    <w:rsid w:val="00953726"/>
    <w:rsid w:val="009561B8"/>
    <w:rsid w:val="00967D8D"/>
    <w:rsid w:val="00974AF3"/>
    <w:rsid w:val="00974F6C"/>
    <w:rsid w:val="00984281"/>
    <w:rsid w:val="0098491E"/>
    <w:rsid w:val="00984D1F"/>
    <w:rsid w:val="0098762C"/>
    <w:rsid w:val="0099641E"/>
    <w:rsid w:val="009A3036"/>
    <w:rsid w:val="009A4070"/>
    <w:rsid w:val="009A46AC"/>
    <w:rsid w:val="009C1322"/>
    <w:rsid w:val="009C4D11"/>
    <w:rsid w:val="009C7983"/>
    <w:rsid w:val="009D4B0A"/>
    <w:rsid w:val="009E60F6"/>
    <w:rsid w:val="009F00B8"/>
    <w:rsid w:val="009F1D3C"/>
    <w:rsid w:val="009F4DEE"/>
    <w:rsid w:val="009F7880"/>
    <w:rsid w:val="00A13735"/>
    <w:rsid w:val="00A15911"/>
    <w:rsid w:val="00A20F87"/>
    <w:rsid w:val="00A2306E"/>
    <w:rsid w:val="00A3583C"/>
    <w:rsid w:val="00A37441"/>
    <w:rsid w:val="00A4284A"/>
    <w:rsid w:val="00A67626"/>
    <w:rsid w:val="00A71A67"/>
    <w:rsid w:val="00A75033"/>
    <w:rsid w:val="00A86306"/>
    <w:rsid w:val="00A90DE8"/>
    <w:rsid w:val="00A90E73"/>
    <w:rsid w:val="00A934E0"/>
    <w:rsid w:val="00A978DD"/>
    <w:rsid w:val="00AB3CAE"/>
    <w:rsid w:val="00AB3DCE"/>
    <w:rsid w:val="00AC5334"/>
    <w:rsid w:val="00AD22FA"/>
    <w:rsid w:val="00AD4D72"/>
    <w:rsid w:val="00AD52C0"/>
    <w:rsid w:val="00AD55B3"/>
    <w:rsid w:val="00AD7BA3"/>
    <w:rsid w:val="00AD7FCF"/>
    <w:rsid w:val="00AE1692"/>
    <w:rsid w:val="00AE312B"/>
    <w:rsid w:val="00AF2CAC"/>
    <w:rsid w:val="00B00FF3"/>
    <w:rsid w:val="00B033CD"/>
    <w:rsid w:val="00B05417"/>
    <w:rsid w:val="00B05E14"/>
    <w:rsid w:val="00B05F51"/>
    <w:rsid w:val="00B0796D"/>
    <w:rsid w:val="00B07DD1"/>
    <w:rsid w:val="00B17608"/>
    <w:rsid w:val="00B32F4E"/>
    <w:rsid w:val="00B359F1"/>
    <w:rsid w:val="00B42ADB"/>
    <w:rsid w:val="00B44330"/>
    <w:rsid w:val="00B50B36"/>
    <w:rsid w:val="00B51B35"/>
    <w:rsid w:val="00B6796C"/>
    <w:rsid w:val="00B71BDC"/>
    <w:rsid w:val="00B72533"/>
    <w:rsid w:val="00B91E33"/>
    <w:rsid w:val="00BA2418"/>
    <w:rsid w:val="00BB093E"/>
    <w:rsid w:val="00BB72F1"/>
    <w:rsid w:val="00BC40D9"/>
    <w:rsid w:val="00BC4670"/>
    <w:rsid w:val="00BC5F40"/>
    <w:rsid w:val="00BD043F"/>
    <w:rsid w:val="00BD4BE5"/>
    <w:rsid w:val="00BE712C"/>
    <w:rsid w:val="00BF15E6"/>
    <w:rsid w:val="00BF26D0"/>
    <w:rsid w:val="00C0073A"/>
    <w:rsid w:val="00C1106B"/>
    <w:rsid w:val="00C114DA"/>
    <w:rsid w:val="00C1231E"/>
    <w:rsid w:val="00C141C2"/>
    <w:rsid w:val="00C2122E"/>
    <w:rsid w:val="00C252BB"/>
    <w:rsid w:val="00C33730"/>
    <w:rsid w:val="00C36922"/>
    <w:rsid w:val="00C37B81"/>
    <w:rsid w:val="00C41172"/>
    <w:rsid w:val="00C43D8A"/>
    <w:rsid w:val="00C45F79"/>
    <w:rsid w:val="00C5000E"/>
    <w:rsid w:val="00C51AE6"/>
    <w:rsid w:val="00C53141"/>
    <w:rsid w:val="00C57658"/>
    <w:rsid w:val="00C612A3"/>
    <w:rsid w:val="00C6571D"/>
    <w:rsid w:val="00C65B40"/>
    <w:rsid w:val="00C66442"/>
    <w:rsid w:val="00C667A0"/>
    <w:rsid w:val="00C67780"/>
    <w:rsid w:val="00C82F53"/>
    <w:rsid w:val="00C9271A"/>
    <w:rsid w:val="00CA1876"/>
    <w:rsid w:val="00CB0541"/>
    <w:rsid w:val="00CB0E6C"/>
    <w:rsid w:val="00CB1EEC"/>
    <w:rsid w:val="00CB24FD"/>
    <w:rsid w:val="00CC33D5"/>
    <w:rsid w:val="00CC51A8"/>
    <w:rsid w:val="00CD220E"/>
    <w:rsid w:val="00CE0130"/>
    <w:rsid w:val="00D10B18"/>
    <w:rsid w:val="00D11611"/>
    <w:rsid w:val="00D2007D"/>
    <w:rsid w:val="00D238EC"/>
    <w:rsid w:val="00D32EC0"/>
    <w:rsid w:val="00D34171"/>
    <w:rsid w:val="00D372A9"/>
    <w:rsid w:val="00D458B5"/>
    <w:rsid w:val="00D54FC2"/>
    <w:rsid w:val="00D73BF2"/>
    <w:rsid w:val="00D75DE2"/>
    <w:rsid w:val="00D77F68"/>
    <w:rsid w:val="00D808E7"/>
    <w:rsid w:val="00D91920"/>
    <w:rsid w:val="00D929FB"/>
    <w:rsid w:val="00D95BC6"/>
    <w:rsid w:val="00DA4EAA"/>
    <w:rsid w:val="00DB16E8"/>
    <w:rsid w:val="00DB647E"/>
    <w:rsid w:val="00DC4C3A"/>
    <w:rsid w:val="00DC62AB"/>
    <w:rsid w:val="00DE4869"/>
    <w:rsid w:val="00DE4A42"/>
    <w:rsid w:val="00DE5A79"/>
    <w:rsid w:val="00E02CF3"/>
    <w:rsid w:val="00E03EB6"/>
    <w:rsid w:val="00E04634"/>
    <w:rsid w:val="00E07B96"/>
    <w:rsid w:val="00E07F1D"/>
    <w:rsid w:val="00E11996"/>
    <w:rsid w:val="00E20FF8"/>
    <w:rsid w:val="00E335CA"/>
    <w:rsid w:val="00E34EC5"/>
    <w:rsid w:val="00E365F2"/>
    <w:rsid w:val="00E52CB4"/>
    <w:rsid w:val="00E57460"/>
    <w:rsid w:val="00E91482"/>
    <w:rsid w:val="00E92FD1"/>
    <w:rsid w:val="00E95E28"/>
    <w:rsid w:val="00E96AA6"/>
    <w:rsid w:val="00EA4392"/>
    <w:rsid w:val="00EB412A"/>
    <w:rsid w:val="00EC4940"/>
    <w:rsid w:val="00ED1DBC"/>
    <w:rsid w:val="00ED5094"/>
    <w:rsid w:val="00EE3EA8"/>
    <w:rsid w:val="00EE60F2"/>
    <w:rsid w:val="00EE786A"/>
    <w:rsid w:val="00EF0A74"/>
    <w:rsid w:val="00EF0C14"/>
    <w:rsid w:val="00EF4D2F"/>
    <w:rsid w:val="00EF6433"/>
    <w:rsid w:val="00EF6B87"/>
    <w:rsid w:val="00F03D42"/>
    <w:rsid w:val="00F12953"/>
    <w:rsid w:val="00F234E6"/>
    <w:rsid w:val="00F24DFC"/>
    <w:rsid w:val="00F25202"/>
    <w:rsid w:val="00F25D08"/>
    <w:rsid w:val="00F533C0"/>
    <w:rsid w:val="00F615C8"/>
    <w:rsid w:val="00F73592"/>
    <w:rsid w:val="00F7704C"/>
    <w:rsid w:val="00F83075"/>
    <w:rsid w:val="00FA125B"/>
    <w:rsid w:val="00FA1DB7"/>
    <w:rsid w:val="00FB05C8"/>
    <w:rsid w:val="00FB109E"/>
    <w:rsid w:val="00FC17DE"/>
    <w:rsid w:val="00FD6778"/>
    <w:rsid w:val="00FD6E32"/>
    <w:rsid w:val="00FD71ED"/>
    <w:rsid w:val="00FD7811"/>
    <w:rsid w:val="00FE2318"/>
    <w:rsid w:val="00FE6F6F"/>
    <w:rsid w:val="00FF1248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,"/>
  <w:listSeparator w:val=";"/>
  <w14:docId w14:val="15AB8D76"/>
  <w15:docId w15:val="{44FAFCE4-CA63-4C70-9074-5C2F61BD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33C0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3C0"/>
    <w:pPr>
      <w:ind w:left="720"/>
    </w:pPr>
  </w:style>
  <w:style w:type="paragraph" w:styleId="Zhlav">
    <w:name w:val="header"/>
    <w:basedOn w:val="Normln"/>
    <w:link w:val="ZhlavChar"/>
    <w:uiPriority w:val="99"/>
    <w:unhideWhenUsed/>
    <w:rsid w:val="00EE3E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E3EA8"/>
    <w:rPr>
      <w:rFonts w:ascii="Calibri" w:hAnsi="Calibri" w:cs="Times New Roman"/>
      <w:lang w:eastAsia="cs-CZ"/>
    </w:rPr>
  </w:style>
  <w:style w:type="paragraph" w:styleId="Zpat">
    <w:name w:val="footer"/>
    <w:basedOn w:val="Normln"/>
    <w:link w:val="ZpatChar"/>
    <w:unhideWhenUsed/>
    <w:rsid w:val="00EE3E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E3EA8"/>
    <w:rPr>
      <w:rFonts w:ascii="Calibri" w:hAnsi="Calibri" w:cs="Times New Roman"/>
      <w:lang w:eastAsia="cs-CZ"/>
    </w:rPr>
  </w:style>
  <w:style w:type="character" w:styleId="Hypertextovodkaz">
    <w:name w:val="Hyperlink"/>
    <w:rsid w:val="00EE3EA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72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72F1"/>
    <w:rPr>
      <w:rFonts w:ascii="Segoe UI" w:hAnsi="Segoe UI" w:cs="Segoe UI"/>
      <w:sz w:val="18"/>
      <w:szCs w:val="18"/>
      <w:lang w:eastAsia="cs-CZ"/>
    </w:rPr>
  </w:style>
  <w:style w:type="character" w:customStyle="1" w:styleId="articleinformation">
    <w:name w:val="articleinformation"/>
    <w:basedOn w:val="Standardnpsmoodstavce"/>
    <w:rsid w:val="00DE5A79"/>
  </w:style>
  <w:style w:type="paragraph" w:styleId="Normlnweb">
    <w:name w:val="Normal (Web)"/>
    <w:basedOn w:val="Normln"/>
    <w:uiPriority w:val="99"/>
    <w:unhideWhenUsed/>
    <w:rsid w:val="0085317B"/>
    <w:pPr>
      <w:spacing w:before="100" w:beforeAutospacing="1" w:after="100" w:afterAutospacing="1"/>
    </w:pPr>
    <w:rPr>
      <w:rFonts w:ascii="Times New Roman" w:eastAsia="Times New Roman" w:hAnsi="Times New Roman" w:cs="Times New Roman"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05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053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053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05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0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0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ax.cz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mailto:marcela.kukanova@crestcom.cz" TargetMode="Externa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s://www.touax.cz/cs/rada-economy/baleni-preprava-rady-economy" TargetMode="External"/><Relationship Id="rId14" Type="http://schemas.openxmlformats.org/officeDocument/2006/relationships/image" Target="media/image5.jpeg"/><Relationship Id="rId22" Type="http://schemas.openxmlformats.org/officeDocument/2006/relationships/hyperlink" Target="mailto:jan.petr@touax.c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ouax.cz" TargetMode="External"/><Relationship Id="rId1" Type="http://schemas.openxmlformats.org/officeDocument/2006/relationships/hyperlink" Target="mailto:info@touax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1261C-8D50-4413-BCCB-764F9751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1317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TOUAX</Company>
  <LinksUpToDate>false</LinksUpToDate>
  <CharactersWithSpaces>9072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Petr</dc:creator>
  <cp:lastModifiedBy>Kamila Čadková</cp:lastModifiedBy>
  <cp:revision>4</cp:revision>
  <cp:lastPrinted>2017-11-02T14:35:00Z</cp:lastPrinted>
  <dcterms:created xsi:type="dcterms:W3CDTF">2017-11-02T14:26:00Z</dcterms:created>
  <dcterms:modified xsi:type="dcterms:W3CDTF">2017-11-02T14:36:00Z</dcterms:modified>
</cp:coreProperties>
</file>